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F7E85" w14:textId="39552301" w:rsidR="00E90E49" w:rsidRPr="00CE0424" w:rsidRDefault="00E90E49" w:rsidP="00E35559">
      <w:pPr>
        <w:pStyle w:val="3GPPHeader"/>
        <w:spacing w:after="60"/>
        <w:rPr>
          <w:sz w:val="32"/>
          <w:szCs w:val="32"/>
          <w:highlight w:val="yellow"/>
        </w:rPr>
      </w:pPr>
      <w:r w:rsidRPr="00CE0424">
        <w:t>3GPP TSG-RAN WG</w:t>
      </w:r>
      <w:r w:rsidR="00F20F5C">
        <w:t>2</w:t>
      </w:r>
      <w:r w:rsidR="00AC0D28">
        <w:t xml:space="preserve"> </w:t>
      </w:r>
      <w:r w:rsidRPr="00CE0424">
        <w:t>#</w:t>
      </w:r>
      <w:r w:rsidR="00F20F5C">
        <w:t>1</w:t>
      </w:r>
      <w:r w:rsidR="00645DEF">
        <w:t>20</w:t>
      </w:r>
      <w:r w:rsidRPr="00CE0424">
        <w:tab/>
      </w:r>
      <w:r w:rsidR="006025B7" w:rsidRPr="006025B7">
        <w:rPr>
          <w:sz w:val="32"/>
          <w:szCs w:val="32"/>
        </w:rPr>
        <w:t>R2-2212946</w:t>
      </w:r>
    </w:p>
    <w:p w14:paraId="752598DE" w14:textId="377CF4C3" w:rsidR="00E90E49" w:rsidRPr="00CE0424" w:rsidRDefault="00792B27" w:rsidP="00311702">
      <w:pPr>
        <w:pStyle w:val="3GPPHeader"/>
      </w:pPr>
      <w:r>
        <w:t>Toulouse, France</w:t>
      </w:r>
      <w:r w:rsidR="00C268E6">
        <w:t xml:space="preserve">, </w:t>
      </w:r>
      <w:r w:rsidR="00D9310F" w:rsidRPr="00D9310F">
        <w:t>202</w:t>
      </w:r>
      <w:r w:rsidR="00AB3AF9">
        <w:t>2</w:t>
      </w:r>
      <w:r w:rsidR="00D9310F" w:rsidRPr="00D9310F">
        <w:t>-</w:t>
      </w:r>
      <w:r w:rsidR="00AC0D28">
        <w:t>1</w:t>
      </w:r>
      <w:r w:rsidR="00645DEF">
        <w:t>1</w:t>
      </w:r>
      <w:r w:rsidR="00D9310F" w:rsidRPr="00D9310F">
        <w:t>-</w:t>
      </w:r>
      <w:r w:rsidR="00FA3AD7">
        <w:t>1</w:t>
      </w:r>
      <w:r w:rsidR="00645DEF">
        <w:t>4</w:t>
      </w:r>
      <w:r w:rsidR="005640C9">
        <w:t xml:space="preserve"> – 202</w:t>
      </w:r>
      <w:r w:rsidR="00BD6540">
        <w:t>2</w:t>
      </w:r>
      <w:r w:rsidR="005640C9">
        <w:t>-</w:t>
      </w:r>
      <w:r w:rsidR="00AC0D28">
        <w:t>1</w:t>
      </w:r>
      <w:r w:rsidR="00645DEF">
        <w:t>1</w:t>
      </w:r>
      <w:r w:rsidR="005640C9">
        <w:t>-</w:t>
      </w:r>
      <w:r w:rsidR="00AC0D28">
        <w:t>1</w:t>
      </w:r>
      <w:r w:rsidR="00645DEF">
        <w:t>8</w:t>
      </w:r>
    </w:p>
    <w:p w14:paraId="3E6673B6" w14:textId="77777777" w:rsidR="00E90E49" w:rsidRPr="00CE0424" w:rsidRDefault="00E90E49" w:rsidP="00357380">
      <w:pPr>
        <w:pStyle w:val="3GPPHeader"/>
      </w:pPr>
    </w:p>
    <w:p w14:paraId="7B71D8B7" w14:textId="2056981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A3AD7">
        <w:rPr>
          <w:sz w:val="22"/>
          <w:szCs w:val="22"/>
        </w:rPr>
        <w:t>8.7.4</w:t>
      </w:r>
      <w:r w:rsidR="005C17FA">
        <w:rPr>
          <w:sz w:val="22"/>
          <w:szCs w:val="22"/>
        </w:rPr>
        <w:t>.2</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44C8B0DA" w:rsidR="00E90E49" w:rsidRPr="00CE0424" w:rsidRDefault="003D3C45" w:rsidP="00311702">
      <w:pPr>
        <w:pStyle w:val="3GPPHeader"/>
        <w:rPr>
          <w:sz w:val="22"/>
          <w:szCs w:val="22"/>
        </w:rPr>
      </w:pPr>
      <w:r>
        <w:rPr>
          <w:sz w:val="22"/>
          <w:szCs w:val="22"/>
        </w:rPr>
        <w:t>Title:</w:t>
      </w:r>
      <w:r w:rsidR="00E90E49" w:rsidRPr="00CE0424">
        <w:rPr>
          <w:sz w:val="22"/>
          <w:szCs w:val="22"/>
        </w:rPr>
        <w:tab/>
      </w:r>
      <w:r w:rsidR="00645DEF">
        <w:rPr>
          <w:sz w:val="22"/>
          <w:szCs w:val="22"/>
        </w:rPr>
        <w:t>Handover enhancements</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1CF8">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6856E9F5" w14:textId="77777777" w:rsidR="00645DEF" w:rsidRPr="00645DEF" w:rsidRDefault="00645DEF" w:rsidP="00645DEF">
      <w:pPr>
        <w:spacing w:after="120"/>
        <w:rPr>
          <w:lang w:eastAsia="zh-CN"/>
        </w:rPr>
      </w:pPr>
      <w:r w:rsidRPr="00645DEF">
        <w:rPr>
          <w:lang w:eastAsia="zh-CN"/>
        </w:rPr>
        <w:t>The work item for NR NTN enhancements in Rel-18 [1] emphasizes NTN-TN and NTN-NTN mobility and service continuity as an important area for improvements.</w:t>
      </w:r>
    </w:p>
    <w:p w14:paraId="695A3DA2" w14:textId="77777777" w:rsidR="00645DEF" w:rsidRPr="00645DEF" w:rsidRDefault="00645DEF" w:rsidP="00645DEF">
      <w:pPr>
        <w:spacing w:after="120"/>
        <w:rPr>
          <w:lang w:eastAsia="zh-CN"/>
        </w:rPr>
      </w:pPr>
      <w:r w:rsidRPr="00645DEF">
        <w:rPr>
          <w:lang w:eastAsia="zh-CN"/>
        </w:rPr>
        <w:t>For handover enhancements, the WID points out the following two aspects to consider:</w:t>
      </w:r>
    </w:p>
    <w:p w14:paraId="45FB63B1" w14:textId="77777777" w:rsidR="00645DEF" w:rsidRPr="00645DEF" w:rsidRDefault="00645DEF" w:rsidP="00645DEF">
      <w:pPr>
        <w:numPr>
          <w:ilvl w:val="0"/>
          <w:numId w:val="23"/>
        </w:numPr>
        <w:spacing w:after="120"/>
        <w:rPr>
          <w:lang w:eastAsia="zh-CN"/>
        </w:rPr>
      </w:pPr>
      <w:r w:rsidRPr="00645DEF">
        <w:rPr>
          <w:lang w:eastAsia="zh-CN"/>
        </w:rPr>
        <w:t>“</w:t>
      </w:r>
      <w:r w:rsidRPr="00645DEF">
        <w:rPr>
          <w:i/>
          <w:iCs/>
          <w:lang w:eastAsia="zh-CN"/>
        </w:rPr>
        <w:t xml:space="preserve">Specify NTN-NTN </w:t>
      </w:r>
      <w:bookmarkStart w:id="0" w:name="_Hlk118188500"/>
      <w:r w:rsidRPr="00645DEF">
        <w:rPr>
          <w:i/>
          <w:iCs/>
          <w:lang w:eastAsia="zh-CN"/>
        </w:rPr>
        <w:t xml:space="preserve">handover enhancements </w:t>
      </w:r>
      <w:bookmarkEnd w:id="0"/>
      <w:r w:rsidRPr="00645DEF">
        <w:rPr>
          <w:i/>
          <w:iCs/>
          <w:lang w:eastAsia="zh-CN"/>
        </w:rPr>
        <w:t xml:space="preserve">for RRC_CONNECTED UEs in the quasi-earth-fixed cell and earth-moving cell </w:t>
      </w:r>
      <w:bookmarkStart w:id="1" w:name="_Hlk118125459"/>
      <w:r w:rsidRPr="00645DEF">
        <w:rPr>
          <w:i/>
          <w:iCs/>
          <w:lang w:eastAsia="zh-CN"/>
        </w:rPr>
        <w:t>to reduce the signalling overhead</w:t>
      </w:r>
      <w:bookmarkEnd w:id="1"/>
      <w:r w:rsidRPr="00645DEF">
        <w:rPr>
          <w:i/>
          <w:iCs/>
          <w:lang w:eastAsia="zh-CN"/>
        </w:rPr>
        <w:t>.</w:t>
      </w:r>
      <w:r w:rsidRPr="00645DEF">
        <w:rPr>
          <w:lang w:eastAsia="zh-CN"/>
        </w:rPr>
        <w:t>”</w:t>
      </w:r>
    </w:p>
    <w:p w14:paraId="582C5018" w14:textId="77777777" w:rsidR="00645DEF" w:rsidRPr="00645DEF" w:rsidRDefault="00645DEF" w:rsidP="00645DEF">
      <w:pPr>
        <w:numPr>
          <w:ilvl w:val="0"/>
          <w:numId w:val="23"/>
        </w:numPr>
        <w:spacing w:after="120"/>
        <w:rPr>
          <w:lang w:eastAsia="zh-CN"/>
        </w:rPr>
      </w:pPr>
      <w:r w:rsidRPr="00645DEF">
        <w:rPr>
          <w:lang w:eastAsia="zh-CN"/>
        </w:rPr>
        <w:t>“</w:t>
      </w:r>
      <w:r w:rsidRPr="00645DEF">
        <w:rPr>
          <w:i/>
          <w:iCs/>
          <w:lang w:eastAsia="zh-CN"/>
        </w:rPr>
        <w:t>Study and, if needed, specify enhancement to Xn[/NG] signalling to support feeder link switch-over, CHO, e.g. exchange of necessary information between gNBs.</w:t>
      </w:r>
      <w:r w:rsidRPr="00645DEF">
        <w:rPr>
          <w:lang w:eastAsia="zh-CN"/>
        </w:rPr>
        <w:t>”</w:t>
      </w:r>
    </w:p>
    <w:p w14:paraId="257C08D4" w14:textId="37099DE8" w:rsidR="00477768" w:rsidRPr="00645DEF" w:rsidRDefault="00645DEF" w:rsidP="00645DEF">
      <w:pPr>
        <w:pStyle w:val="BodyText"/>
        <w:rPr>
          <w:rFonts w:cs="Arial"/>
        </w:rPr>
      </w:pPr>
      <w:r w:rsidRPr="00645DEF">
        <w:rPr>
          <w:rFonts w:cs="Arial"/>
          <w:lang w:eastAsia="ja-JP"/>
        </w:rPr>
        <w:t>In this paper, we address the aspects above.</w:t>
      </w:r>
    </w:p>
    <w:p w14:paraId="040D06C5" w14:textId="77AA3ADA" w:rsidR="001E1F63" w:rsidRDefault="00230D18" w:rsidP="003378D6">
      <w:pPr>
        <w:pStyle w:val="Heading1"/>
      </w:pPr>
      <w:bookmarkStart w:id="2" w:name="_Ref178064866"/>
      <w:r>
        <w:t>2</w:t>
      </w:r>
      <w:r>
        <w:tab/>
      </w:r>
      <w:r w:rsidR="004000E8" w:rsidRPr="00CE0424">
        <w:t>Discussion</w:t>
      </w:r>
      <w:bookmarkEnd w:id="2"/>
    </w:p>
    <w:p w14:paraId="08A3D020" w14:textId="00FAB0C5" w:rsidR="00645DEF" w:rsidRPr="00645DEF" w:rsidRDefault="00645DEF" w:rsidP="00645DEF">
      <w:pPr>
        <w:spacing w:after="120"/>
        <w:rPr>
          <w:rFonts w:cs="Arial"/>
          <w:lang w:eastAsia="zh-CN"/>
        </w:rPr>
      </w:pPr>
      <w:r w:rsidRPr="00645DEF">
        <w:rPr>
          <w:rFonts w:cs="Arial"/>
          <w:lang w:eastAsia="zh-CN"/>
        </w:rPr>
        <w:t xml:space="preserve">In both MEO and LEO deployments, mobility in idle and connected mode is expected to be heavily impacted </w:t>
      </w:r>
      <w:r w:rsidR="009E5497">
        <w:rPr>
          <w:rFonts w:cs="Arial"/>
          <w:lang w:eastAsia="zh-CN"/>
        </w:rPr>
        <w:t>by</w:t>
      </w:r>
      <w:r w:rsidRPr="00645DEF">
        <w:rPr>
          <w:rFonts w:cs="Arial"/>
          <w:lang w:eastAsia="zh-CN"/>
        </w:rPr>
        <w:t xml:space="preserve"> rapid satellite movements. </w:t>
      </w:r>
      <w:r w:rsidR="00B53524">
        <w:rPr>
          <w:rFonts w:cs="Arial"/>
          <w:lang w:eastAsia="zh-CN"/>
        </w:rPr>
        <w:t xml:space="preserve">In </w:t>
      </w:r>
      <w:r w:rsidR="009E5497">
        <w:rPr>
          <w:rFonts w:cs="Arial"/>
          <w:lang w:eastAsia="zh-CN"/>
        </w:rPr>
        <w:t xml:space="preserve">an </w:t>
      </w:r>
      <w:r w:rsidRPr="00645DEF">
        <w:rPr>
          <w:rFonts w:cs="Arial"/>
          <w:lang w:eastAsia="zh-CN"/>
        </w:rPr>
        <w:t>extreme example, a UE served by a LEO satellite with a cell diameter size of 50 km will be forced to perform handover after</w:t>
      </w:r>
      <w:r w:rsidR="009E5497">
        <w:rPr>
          <w:rFonts w:cs="Arial"/>
          <w:lang w:eastAsia="zh-CN"/>
        </w:rPr>
        <w:t xml:space="preserve"> only</w:t>
      </w:r>
      <w:r w:rsidRPr="00645DEF">
        <w:rPr>
          <w:rFonts w:cs="Arial"/>
          <w:lang w:eastAsia="zh-CN"/>
        </w:rPr>
        <w:t xml:space="preserve"> 6.61 seconds [2]. In </w:t>
      </w:r>
      <w:r w:rsidR="00B62652">
        <w:rPr>
          <w:rFonts w:cs="Arial"/>
          <w:lang w:eastAsia="zh-CN"/>
        </w:rPr>
        <w:t>turn</w:t>
      </w:r>
      <w:r w:rsidRPr="00645DEF">
        <w:rPr>
          <w:rFonts w:cs="Arial"/>
          <w:lang w:eastAsia="zh-CN"/>
        </w:rPr>
        <w:t>, the total number of handovers per second will likely be very high</w:t>
      </w:r>
      <w:r w:rsidR="00650789">
        <w:rPr>
          <w:rFonts w:cs="Arial"/>
          <w:lang w:eastAsia="zh-CN"/>
        </w:rPr>
        <w:t xml:space="preserve"> </w:t>
      </w:r>
      <w:r w:rsidRPr="00645DEF">
        <w:rPr>
          <w:rFonts w:cs="Arial"/>
          <w:lang w:eastAsia="zh-CN"/>
        </w:rPr>
        <w:t>and cause a significant signalling load in the network.</w:t>
      </w:r>
    </w:p>
    <w:p w14:paraId="753DCAB1" w14:textId="4F908C86" w:rsidR="009E5497" w:rsidRDefault="00645DEF" w:rsidP="00645DEF">
      <w:pPr>
        <w:spacing w:after="120"/>
        <w:rPr>
          <w:rFonts w:cs="Arial"/>
        </w:rPr>
      </w:pPr>
      <w:r w:rsidRPr="00645DEF">
        <w:rPr>
          <w:rFonts w:cs="Arial"/>
        </w:rPr>
        <w:t xml:space="preserve">The signalling overhead is expected to be particularly </w:t>
      </w:r>
      <w:r w:rsidR="00F66223">
        <w:rPr>
          <w:rFonts w:cs="Arial"/>
        </w:rPr>
        <w:t>important</w:t>
      </w:r>
      <w:r w:rsidRPr="00645DEF">
        <w:rPr>
          <w:rFonts w:cs="Arial"/>
        </w:rPr>
        <w:t xml:space="preserve"> in the </w:t>
      </w:r>
      <w:r w:rsidR="009E5497">
        <w:rPr>
          <w:rFonts w:cs="Arial"/>
        </w:rPr>
        <w:t>following scenarios:</w:t>
      </w:r>
    </w:p>
    <w:p w14:paraId="743380E4" w14:textId="72B7DAC6" w:rsidR="00F66223" w:rsidRDefault="001C7DAA" w:rsidP="00F66223">
      <w:pPr>
        <w:pStyle w:val="ListParagraph"/>
        <w:numPr>
          <w:ilvl w:val="0"/>
          <w:numId w:val="33"/>
        </w:numPr>
        <w:spacing w:after="120"/>
        <w:rPr>
          <w:rFonts w:cs="Arial"/>
          <w:szCs w:val="20"/>
          <w:lang w:eastAsia="zh-CN"/>
        </w:rPr>
      </w:pPr>
      <w:r>
        <w:rPr>
          <w:rFonts w:cs="Arial"/>
          <w:szCs w:val="20"/>
          <w:lang w:val="en-US"/>
        </w:rPr>
        <w:t xml:space="preserve">Service link switch in </w:t>
      </w:r>
      <w:r w:rsidR="00645DEF" w:rsidRPr="00F66223">
        <w:rPr>
          <w:rFonts w:cs="Arial"/>
          <w:szCs w:val="20"/>
        </w:rPr>
        <w:t>quasi-earth fixed cell</w:t>
      </w:r>
      <w:r w:rsidR="00F66223">
        <w:rPr>
          <w:rFonts w:cs="Arial"/>
          <w:szCs w:val="20"/>
          <w:lang w:val="en-US"/>
        </w:rPr>
        <w:t>s.</w:t>
      </w:r>
    </w:p>
    <w:p w14:paraId="58A0ABB7" w14:textId="36D17DD3" w:rsidR="00645DEF" w:rsidRPr="00F66223" w:rsidRDefault="00F66223" w:rsidP="00F66223">
      <w:pPr>
        <w:pStyle w:val="ListParagraph"/>
        <w:numPr>
          <w:ilvl w:val="0"/>
          <w:numId w:val="33"/>
        </w:numPr>
        <w:spacing w:after="120"/>
        <w:rPr>
          <w:rFonts w:cs="Arial"/>
          <w:szCs w:val="20"/>
          <w:lang w:eastAsia="zh-CN"/>
        </w:rPr>
      </w:pPr>
      <w:r>
        <w:rPr>
          <w:rFonts w:cs="Arial"/>
          <w:szCs w:val="20"/>
          <w:lang w:val="en-US"/>
        </w:rPr>
        <w:t>F</w:t>
      </w:r>
      <w:r w:rsidR="00645DEF" w:rsidRPr="00F66223">
        <w:rPr>
          <w:rFonts w:cs="Arial"/>
          <w:szCs w:val="20"/>
        </w:rPr>
        <w:t>eeder link switch in</w:t>
      </w:r>
      <w:r w:rsidR="00B53524" w:rsidRPr="00F66223">
        <w:rPr>
          <w:rFonts w:cs="Arial"/>
          <w:szCs w:val="20"/>
        </w:rPr>
        <w:t xml:space="preserve"> </w:t>
      </w:r>
      <w:r>
        <w:rPr>
          <w:rFonts w:cs="Arial"/>
          <w:szCs w:val="20"/>
          <w:lang w:val="en-US"/>
        </w:rPr>
        <w:t>E</w:t>
      </w:r>
      <w:r w:rsidR="00B53524" w:rsidRPr="00F66223">
        <w:rPr>
          <w:rFonts w:cs="Arial"/>
          <w:szCs w:val="20"/>
        </w:rPr>
        <w:t>arth-</w:t>
      </w:r>
      <w:r w:rsidR="00645DEF" w:rsidRPr="00F66223">
        <w:rPr>
          <w:rFonts w:cs="Arial"/>
          <w:szCs w:val="20"/>
        </w:rPr>
        <w:t>moving cell</w:t>
      </w:r>
      <w:r>
        <w:rPr>
          <w:rFonts w:cs="Arial"/>
          <w:szCs w:val="20"/>
          <w:lang w:val="en-US"/>
        </w:rPr>
        <w:t>s</w:t>
      </w:r>
      <w:r w:rsidR="00645DEF" w:rsidRPr="00F66223">
        <w:rPr>
          <w:rFonts w:cs="Arial"/>
          <w:szCs w:val="20"/>
        </w:rPr>
        <w:t>.</w:t>
      </w:r>
    </w:p>
    <w:p w14:paraId="45616FEA" w14:textId="6E5AC334" w:rsidR="00645DEF" w:rsidRPr="00645DEF" w:rsidRDefault="001E1F63" w:rsidP="00EA11C7">
      <w:pPr>
        <w:pStyle w:val="Heading2"/>
      </w:pPr>
      <w:r>
        <w:t>2.</w:t>
      </w:r>
      <w:r w:rsidR="003378D6">
        <w:t>1</w:t>
      </w:r>
      <w:r w:rsidR="00645DEF">
        <w:tab/>
      </w:r>
      <w:r w:rsidR="00645DEF" w:rsidRPr="00645DEF">
        <w:t xml:space="preserve">Reduction of </w:t>
      </w:r>
      <w:r w:rsidR="00645DEF" w:rsidRPr="00EA11C7">
        <w:t>signalling</w:t>
      </w:r>
      <w:r w:rsidR="00645DEF" w:rsidRPr="00645DEF">
        <w:t xml:space="preserve"> overhead during handover</w:t>
      </w:r>
    </w:p>
    <w:p w14:paraId="2B9BACE5" w14:textId="77777777" w:rsidR="00645DEF" w:rsidRPr="00645DEF" w:rsidRDefault="00645DEF" w:rsidP="00EA11C7">
      <w:pPr>
        <w:pStyle w:val="Heading3"/>
      </w:pPr>
      <w:r w:rsidRPr="00645DEF">
        <w:t>2.1.1</w:t>
      </w:r>
      <w:r w:rsidRPr="00645DEF">
        <w:tab/>
        <w:t>Background</w:t>
      </w:r>
    </w:p>
    <w:p w14:paraId="2AA705AC" w14:textId="53A36341" w:rsidR="00645DEF" w:rsidRPr="00645DEF" w:rsidRDefault="00645DEF" w:rsidP="00645DEF">
      <w:pPr>
        <w:spacing w:after="120"/>
        <w:rPr>
          <w:lang w:eastAsia="zh-CN"/>
        </w:rPr>
      </w:pPr>
      <w:r w:rsidRPr="00645DEF">
        <w:rPr>
          <w:lang w:eastAsia="zh-CN"/>
        </w:rPr>
        <w:t>Before expiration of the serving cell stop time (</w:t>
      </w:r>
      <w:r w:rsidRPr="00645DEF">
        <w:rPr>
          <w:i/>
          <w:iCs/>
          <w:lang w:eastAsia="zh-CN"/>
        </w:rPr>
        <w:t>t-service</w:t>
      </w:r>
      <w:r w:rsidRPr="00645DEF">
        <w:rPr>
          <w:lang w:eastAsia="zh-CN"/>
        </w:rPr>
        <w:t xml:space="preserve">) </w:t>
      </w:r>
      <w:bookmarkStart w:id="3" w:name="_Hlk118145451"/>
      <w:r w:rsidRPr="00645DEF">
        <w:rPr>
          <w:lang w:eastAsia="zh-CN"/>
        </w:rPr>
        <w:t>in a quasi-earth fixed cell scenario</w:t>
      </w:r>
      <w:bookmarkEnd w:id="3"/>
      <w:r w:rsidRPr="00645DEF">
        <w:rPr>
          <w:lang w:eastAsia="zh-CN"/>
        </w:rPr>
        <w:t>, or before a feeder link switch takes place in a</w:t>
      </w:r>
      <w:r w:rsidR="00B53524">
        <w:rPr>
          <w:lang w:eastAsia="zh-CN"/>
        </w:rPr>
        <w:t xml:space="preserve">n </w:t>
      </w:r>
      <w:r w:rsidR="009F7031">
        <w:rPr>
          <w:lang w:eastAsia="zh-CN"/>
        </w:rPr>
        <w:t>E</w:t>
      </w:r>
      <w:r w:rsidR="00B53524">
        <w:rPr>
          <w:lang w:eastAsia="zh-CN"/>
        </w:rPr>
        <w:t>arth-</w:t>
      </w:r>
      <w:r w:rsidRPr="00645DEF">
        <w:rPr>
          <w:lang w:eastAsia="zh-CN"/>
        </w:rPr>
        <w:t xml:space="preserve">moving cell scenario, all </w:t>
      </w:r>
      <w:r w:rsidR="005108FE">
        <w:rPr>
          <w:lang w:eastAsia="zh-CN"/>
        </w:rPr>
        <w:t xml:space="preserve">connected </w:t>
      </w:r>
      <w:r w:rsidRPr="00645DEF">
        <w:rPr>
          <w:lang w:eastAsia="zh-CN"/>
        </w:rPr>
        <w:t>UEs served by the source cell need to perform handover to the target cell taking over the coverage area of the source cell. Due to the short time of overlap when the source cell and the target cell are covering the same geographical area, the handover execution need</w:t>
      </w:r>
      <w:r w:rsidR="000931BE">
        <w:rPr>
          <w:lang w:eastAsia="zh-CN"/>
        </w:rPr>
        <w:t>s</w:t>
      </w:r>
      <w:r w:rsidRPr="00645DEF">
        <w:rPr>
          <w:lang w:eastAsia="zh-CN"/>
        </w:rPr>
        <w:t xml:space="preserve"> to take place within a very short time frame. This may cause a </w:t>
      </w:r>
      <w:bookmarkStart w:id="4" w:name="_Hlk118142677"/>
      <w:r w:rsidRPr="00645DEF">
        <w:rPr>
          <w:lang w:eastAsia="zh-CN"/>
        </w:rPr>
        <w:t xml:space="preserve">high </w:t>
      </w:r>
      <w:r w:rsidR="00487A0B">
        <w:rPr>
          <w:lang w:eastAsia="zh-CN"/>
        </w:rPr>
        <w:t xml:space="preserve">peak </w:t>
      </w:r>
      <w:r w:rsidRPr="00645DEF">
        <w:rPr>
          <w:lang w:eastAsia="zh-CN"/>
        </w:rPr>
        <w:t xml:space="preserve">load </w:t>
      </w:r>
      <w:bookmarkEnd w:id="4"/>
      <w:r w:rsidRPr="00645DEF">
        <w:rPr>
          <w:lang w:eastAsia="zh-CN"/>
        </w:rPr>
        <w:t>on the RA processing resources in the target cell as well as to the signalling and processing resources in the source cell during the handover preparation phase.</w:t>
      </w:r>
    </w:p>
    <w:p w14:paraId="649163AF" w14:textId="7C4A9EA3" w:rsidR="00645DEF" w:rsidRDefault="00645DEF" w:rsidP="00645DEF">
      <w:pPr>
        <w:spacing w:after="120"/>
        <w:rPr>
          <w:lang w:eastAsia="zh-CN"/>
        </w:rPr>
      </w:pPr>
      <w:r w:rsidRPr="00645DEF">
        <w:rPr>
          <w:lang w:eastAsia="zh-CN"/>
        </w:rPr>
        <w:t xml:space="preserve">The </w:t>
      </w:r>
      <w:r w:rsidR="00247F60">
        <w:rPr>
          <w:lang w:eastAsia="zh-CN"/>
        </w:rPr>
        <w:t xml:space="preserve">peak </w:t>
      </w:r>
      <w:r w:rsidRPr="00645DEF">
        <w:rPr>
          <w:lang w:eastAsia="zh-CN"/>
        </w:rPr>
        <w:t>load during the RA procedure can be mitigated by means of RACH-less handover (as discussed in the previous meeting [3]), while the increased signalling load during the handover preparation phase need</w:t>
      </w:r>
      <w:r w:rsidR="001B0A00">
        <w:rPr>
          <w:lang w:eastAsia="zh-CN"/>
        </w:rPr>
        <w:t>s</w:t>
      </w:r>
      <w:r w:rsidRPr="00645DEF">
        <w:rPr>
          <w:lang w:eastAsia="zh-CN"/>
        </w:rPr>
        <w:t xml:space="preserve"> to be addressed with another measure(s).</w:t>
      </w:r>
    </w:p>
    <w:p w14:paraId="1584401E" w14:textId="77777777" w:rsidR="003604DC" w:rsidRPr="00645DEF" w:rsidRDefault="003604DC" w:rsidP="00645DEF">
      <w:pPr>
        <w:spacing w:after="120"/>
        <w:rPr>
          <w:lang w:eastAsia="zh-CN"/>
        </w:rPr>
      </w:pPr>
    </w:p>
    <w:p w14:paraId="38AA265D" w14:textId="7F872F9F" w:rsidR="00645DEF" w:rsidRDefault="00645DEF" w:rsidP="00645DEF">
      <w:pPr>
        <w:pStyle w:val="Observation"/>
      </w:pPr>
      <w:bookmarkStart w:id="5" w:name="_Hlk118115726"/>
      <w:bookmarkStart w:id="6" w:name="_Toc118196485"/>
      <w:bookmarkStart w:id="7" w:name="_Toc118444947"/>
      <w:r w:rsidRPr="00645DEF">
        <w:lastRenderedPageBreak/>
        <w:t>Quasi-earth fixed cell scenarios and feeder link switch</w:t>
      </w:r>
      <w:bookmarkEnd w:id="5"/>
      <w:r w:rsidRPr="00645DEF">
        <w:t xml:space="preserve"> </w:t>
      </w:r>
      <w:r w:rsidR="00B53524">
        <w:t xml:space="preserve">in </w:t>
      </w:r>
      <w:r w:rsidR="007D2CF6">
        <w:t>E</w:t>
      </w:r>
      <w:r w:rsidR="00B53524">
        <w:t xml:space="preserve">arth-moving cell scenarios </w:t>
      </w:r>
      <w:r w:rsidRPr="00645DEF">
        <w:t>may involve a considerable signalling load during the RA procedure and during the handover preparation phase</w:t>
      </w:r>
      <w:bookmarkEnd w:id="6"/>
      <w:bookmarkEnd w:id="7"/>
    </w:p>
    <w:p w14:paraId="36DA488C" w14:textId="77777777" w:rsidR="003604DC" w:rsidRPr="00645DEF" w:rsidRDefault="003604DC" w:rsidP="003604DC">
      <w:pPr>
        <w:pStyle w:val="Observation"/>
        <w:numPr>
          <w:ilvl w:val="0"/>
          <w:numId w:val="0"/>
        </w:numPr>
      </w:pPr>
    </w:p>
    <w:p w14:paraId="60B54551" w14:textId="2F588841" w:rsidR="00645DEF" w:rsidRDefault="00821C00" w:rsidP="00645DEF">
      <w:pPr>
        <w:spacing w:after="120"/>
        <w:rPr>
          <w:lang w:eastAsia="zh-CN"/>
        </w:rPr>
      </w:pPr>
      <w:r>
        <w:rPr>
          <w:lang w:eastAsia="zh-CN"/>
        </w:rPr>
        <w:t>T</w:t>
      </w:r>
      <w:r w:rsidR="00645DEF" w:rsidRPr="00645DEF">
        <w:rPr>
          <w:lang w:eastAsia="zh-CN"/>
        </w:rPr>
        <w:t xml:space="preserve">he high satellite velocity </w:t>
      </w:r>
      <w:r w:rsidR="00E95363">
        <w:rPr>
          <w:lang w:eastAsia="zh-CN"/>
        </w:rPr>
        <w:t xml:space="preserve">in relation with </w:t>
      </w:r>
      <w:r w:rsidR="00645DEF" w:rsidRPr="00645DEF">
        <w:rPr>
          <w:lang w:eastAsia="zh-CN"/>
        </w:rPr>
        <w:t>the speed of UE</w:t>
      </w:r>
      <w:r w:rsidR="000225C3">
        <w:rPr>
          <w:lang w:eastAsia="zh-CN"/>
        </w:rPr>
        <w:t>s</w:t>
      </w:r>
      <w:r w:rsidR="00645DEF" w:rsidRPr="00645DEF">
        <w:rPr>
          <w:lang w:eastAsia="zh-CN"/>
        </w:rPr>
        <w:t xml:space="preserve"> </w:t>
      </w:r>
      <w:r w:rsidR="00E95363">
        <w:rPr>
          <w:lang w:eastAsia="zh-CN"/>
        </w:rPr>
        <w:t xml:space="preserve">makes </w:t>
      </w:r>
      <w:r w:rsidR="000225C3">
        <w:rPr>
          <w:lang w:eastAsia="zh-CN"/>
        </w:rPr>
        <w:t>the latter n</w:t>
      </w:r>
      <w:r w:rsidR="00E95363">
        <w:rPr>
          <w:lang w:eastAsia="zh-CN"/>
        </w:rPr>
        <w:t xml:space="preserve">egligible [2]. Therefore, </w:t>
      </w:r>
      <w:r w:rsidR="00645DEF" w:rsidRPr="00645DEF">
        <w:rPr>
          <w:lang w:eastAsia="zh-CN"/>
        </w:rPr>
        <w:t xml:space="preserve">the vast majority of </w:t>
      </w:r>
      <w:r w:rsidR="000225C3">
        <w:rPr>
          <w:lang w:eastAsia="zh-CN"/>
        </w:rPr>
        <w:t xml:space="preserve">connected </w:t>
      </w:r>
      <w:r w:rsidR="00645DEF" w:rsidRPr="00645DEF">
        <w:rPr>
          <w:lang w:eastAsia="zh-CN"/>
        </w:rPr>
        <w:t>UEs served by the source cell need to perform handover to the same target cell</w:t>
      </w:r>
      <w:r w:rsidR="000F40AE">
        <w:rPr>
          <w:lang w:eastAsia="zh-CN"/>
        </w:rPr>
        <w:t>, i.e., the cell</w:t>
      </w:r>
      <w:r w:rsidR="00645DEF" w:rsidRPr="00645DEF">
        <w:rPr>
          <w:lang w:eastAsia="zh-CN"/>
        </w:rPr>
        <w:t xml:space="preserve"> taking over the geographical area </w:t>
      </w:r>
      <w:r w:rsidR="002D21AC">
        <w:rPr>
          <w:lang w:eastAsia="zh-CN"/>
        </w:rPr>
        <w:t>previously covered by t</w:t>
      </w:r>
      <w:r w:rsidR="00645DEF" w:rsidRPr="00645DEF">
        <w:rPr>
          <w:lang w:eastAsia="zh-CN"/>
        </w:rPr>
        <w:t xml:space="preserve">he source cell. </w:t>
      </w:r>
      <w:bookmarkStart w:id="8" w:name="_Hlk118195187"/>
      <w:r w:rsidR="000F40AE">
        <w:rPr>
          <w:lang w:eastAsia="zh-CN"/>
        </w:rPr>
        <w:t xml:space="preserve">The only exception might be </w:t>
      </w:r>
      <w:r w:rsidR="00645DEF" w:rsidRPr="00645DEF">
        <w:rPr>
          <w:lang w:eastAsia="zh-CN"/>
        </w:rPr>
        <w:t>UEs close to the cell border</w:t>
      </w:r>
      <w:r w:rsidR="005B0BA4">
        <w:rPr>
          <w:lang w:eastAsia="zh-CN"/>
        </w:rPr>
        <w:t xml:space="preserve"> </w:t>
      </w:r>
      <w:r w:rsidR="00873E42">
        <w:rPr>
          <w:lang w:eastAsia="zh-CN"/>
        </w:rPr>
        <w:t>and moving away from the reference location</w:t>
      </w:r>
      <w:r w:rsidR="000555D2">
        <w:rPr>
          <w:lang w:eastAsia="zh-CN"/>
        </w:rPr>
        <w:t>. For inst</w:t>
      </w:r>
      <w:r w:rsidR="00754F5D">
        <w:rPr>
          <w:lang w:eastAsia="zh-CN"/>
        </w:rPr>
        <w:t xml:space="preserve">ance, </w:t>
      </w:r>
      <w:r w:rsidR="000E72A0">
        <w:rPr>
          <w:lang w:eastAsia="zh-CN"/>
        </w:rPr>
        <w:t xml:space="preserve">in quasi-Earth fixed cell service link switch scenario, </w:t>
      </w:r>
      <w:r w:rsidR="00754F5D">
        <w:rPr>
          <w:lang w:eastAsia="zh-CN"/>
        </w:rPr>
        <w:t xml:space="preserve">the upcoming satellite might </w:t>
      </w:r>
      <w:r w:rsidR="007C126D">
        <w:rPr>
          <w:lang w:eastAsia="zh-CN"/>
        </w:rPr>
        <w:t>have a smaller cell footprint and not cover the whole geographical</w:t>
      </w:r>
      <w:r w:rsidR="00645DEF" w:rsidRPr="00645DEF">
        <w:rPr>
          <w:lang w:eastAsia="zh-CN"/>
        </w:rPr>
        <w:t xml:space="preserve"> area of the </w:t>
      </w:r>
      <w:r w:rsidR="007C126D">
        <w:rPr>
          <w:lang w:eastAsia="zh-CN"/>
        </w:rPr>
        <w:t>previous satellite.</w:t>
      </w:r>
      <w:r w:rsidR="00873E42">
        <w:rPr>
          <w:lang w:eastAsia="zh-CN"/>
        </w:rPr>
        <w:t xml:space="preserve"> T</w:t>
      </w:r>
      <w:r w:rsidR="00645DEF" w:rsidRPr="00645DEF">
        <w:rPr>
          <w:lang w:eastAsia="zh-CN"/>
        </w:rPr>
        <w:t>hus</w:t>
      </w:r>
      <w:r w:rsidR="00873E42">
        <w:rPr>
          <w:lang w:eastAsia="zh-CN"/>
        </w:rPr>
        <w:t>, UEs close to the cell edge</w:t>
      </w:r>
      <w:r w:rsidR="00645DEF" w:rsidRPr="00645DEF">
        <w:rPr>
          <w:lang w:eastAsia="zh-CN"/>
        </w:rPr>
        <w:t xml:space="preserve"> may need to perform handover t</w:t>
      </w:r>
      <w:r w:rsidR="005C6040">
        <w:rPr>
          <w:lang w:eastAsia="zh-CN"/>
        </w:rPr>
        <w:t>o a different</w:t>
      </w:r>
      <w:r w:rsidR="00645DEF" w:rsidRPr="00645DEF">
        <w:rPr>
          <w:lang w:eastAsia="zh-CN"/>
        </w:rPr>
        <w:t xml:space="preserve"> target cell</w:t>
      </w:r>
      <w:bookmarkEnd w:id="8"/>
      <w:r w:rsidR="00645DEF" w:rsidRPr="00645DEF">
        <w:rPr>
          <w:lang w:eastAsia="zh-CN"/>
        </w:rPr>
        <w:t>.</w:t>
      </w:r>
    </w:p>
    <w:p w14:paraId="7B59DA8D" w14:textId="77777777" w:rsidR="005C6040" w:rsidRDefault="005C6040" w:rsidP="00645DEF">
      <w:pPr>
        <w:spacing w:after="120"/>
        <w:rPr>
          <w:lang w:eastAsia="zh-CN"/>
        </w:rPr>
      </w:pPr>
    </w:p>
    <w:p w14:paraId="23C685B6" w14:textId="0864AD6B" w:rsidR="00EA11C7" w:rsidRDefault="00645DEF" w:rsidP="00645DEF">
      <w:pPr>
        <w:pStyle w:val="Observation"/>
      </w:pPr>
      <w:bookmarkStart w:id="9" w:name="_Toc118196486"/>
      <w:bookmarkStart w:id="10" w:name="_Toc118444948"/>
      <w:r w:rsidRPr="00645DEF">
        <w:t>In a q</w:t>
      </w:r>
      <w:r w:rsidR="00595254" w:rsidRPr="00645DEF">
        <w:t>uasi-earth fixed cell and</w:t>
      </w:r>
      <w:r w:rsidRPr="00645DEF">
        <w:t xml:space="preserve"> at a </w:t>
      </w:r>
      <w:r w:rsidR="00595254" w:rsidRPr="00645DEF">
        <w:t>feeder link switch</w:t>
      </w:r>
      <w:r w:rsidRPr="00645DEF">
        <w:t xml:space="preserve">, most of UEs in the source cell will perform handover to the same target cell. Only UEs moving closer to the cell border may need to perform handover to </w:t>
      </w:r>
      <w:r w:rsidR="00D534F2">
        <w:t xml:space="preserve">a different </w:t>
      </w:r>
      <w:r w:rsidRPr="00645DEF">
        <w:t>target cell.</w:t>
      </w:r>
      <w:bookmarkEnd w:id="9"/>
      <w:bookmarkEnd w:id="10"/>
    </w:p>
    <w:p w14:paraId="34BEB9F2" w14:textId="77777777" w:rsidR="00D534F2" w:rsidRPr="00EA11C7" w:rsidRDefault="00D534F2" w:rsidP="00D534F2">
      <w:pPr>
        <w:pStyle w:val="Observation"/>
        <w:numPr>
          <w:ilvl w:val="0"/>
          <w:numId w:val="0"/>
        </w:numPr>
        <w:ind w:left="1701" w:hanging="1701"/>
      </w:pPr>
    </w:p>
    <w:p w14:paraId="4991BC2F" w14:textId="0A210FFF" w:rsidR="00EA11C7" w:rsidRDefault="00EA11C7" w:rsidP="00EA11C7">
      <w:pPr>
        <w:pStyle w:val="Heading3"/>
      </w:pPr>
      <w:r w:rsidRPr="00645DEF">
        <w:t>2.1.2</w:t>
      </w:r>
      <w:r w:rsidRPr="00645DEF">
        <w:tab/>
      </w:r>
      <w:r w:rsidR="00645DEF" w:rsidRPr="00645DEF">
        <w:t>Way forward</w:t>
      </w:r>
    </w:p>
    <w:p w14:paraId="22DE2777" w14:textId="2DBCC722" w:rsidR="00E45CE8" w:rsidRPr="00E45CE8" w:rsidRDefault="00E45CE8" w:rsidP="00E45CE8">
      <w:pPr>
        <w:pStyle w:val="Heading4"/>
      </w:pPr>
      <w:r>
        <w:t>2.1.2.1</w:t>
      </w:r>
      <w:r>
        <w:tab/>
        <w:t>Conditional handover and group-based handover</w:t>
      </w:r>
    </w:p>
    <w:p w14:paraId="19CAC69E" w14:textId="493DFF78" w:rsidR="00645DEF" w:rsidRDefault="00645DEF" w:rsidP="00645DEF">
      <w:pPr>
        <w:spacing w:after="120"/>
        <w:rPr>
          <w:lang w:eastAsia="zh-CN"/>
        </w:rPr>
      </w:pPr>
      <w:r w:rsidRPr="00645DEF">
        <w:rPr>
          <w:lang w:eastAsia="zh-CN"/>
        </w:rPr>
        <w:t xml:space="preserve">One measure to avoid a high </w:t>
      </w:r>
      <w:r w:rsidR="00133EC6">
        <w:rPr>
          <w:lang w:eastAsia="zh-CN"/>
        </w:rPr>
        <w:t xml:space="preserve">peak </w:t>
      </w:r>
      <w:r w:rsidRPr="00645DEF">
        <w:rPr>
          <w:lang w:eastAsia="zh-CN"/>
        </w:rPr>
        <w:t>load on the signalling and processing resources during the handover preparation phase is to distribute</w:t>
      </w:r>
      <w:r w:rsidR="00F3094F">
        <w:rPr>
          <w:lang w:eastAsia="zh-CN"/>
        </w:rPr>
        <w:t xml:space="preserve"> </w:t>
      </w:r>
      <w:r w:rsidR="00F3094F" w:rsidRPr="00645DEF">
        <w:rPr>
          <w:lang w:eastAsia="zh-CN"/>
        </w:rPr>
        <w:t>over time</w:t>
      </w:r>
      <w:r w:rsidRPr="00645DEF">
        <w:rPr>
          <w:lang w:eastAsia="zh-CN"/>
        </w:rPr>
        <w:t xml:space="preserve"> </w:t>
      </w:r>
      <w:r w:rsidR="00F3094F">
        <w:rPr>
          <w:lang w:eastAsia="zh-CN"/>
        </w:rPr>
        <w:t>sending the</w:t>
      </w:r>
      <w:r w:rsidRPr="00645DEF">
        <w:rPr>
          <w:lang w:eastAsia="zh-CN"/>
        </w:rPr>
        <w:t xml:space="preserve"> target cell configuration to each UE.</w:t>
      </w:r>
      <w:r w:rsidR="00F3094F">
        <w:rPr>
          <w:lang w:eastAsia="zh-CN"/>
        </w:rPr>
        <w:t xml:space="preserve"> </w:t>
      </w:r>
      <w:r w:rsidR="00242E09">
        <w:rPr>
          <w:lang w:eastAsia="zh-CN"/>
        </w:rPr>
        <w:t>T</w:t>
      </w:r>
      <w:r w:rsidRPr="00645DEF">
        <w:rPr>
          <w:lang w:eastAsia="zh-CN"/>
        </w:rPr>
        <w:t>he Conditional Handover (CHO) concept defined in Rel-17 is well</w:t>
      </w:r>
      <w:r w:rsidR="001E3535">
        <w:rPr>
          <w:lang w:eastAsia="zh-CN"/>
        </w:rPr>
        <w:t>-</w:t>
      </w:r>
      <w:r w:rsidRPr="00645DEF">
        <w:rPr>
          <w:lang w:eastAsia="zh-CN"/>
        </w:rPr>
        <w:t>suited to prevent high peak load during the handover preparation phase. With CHO, the handover preparation information can be sent to each UE well in time before the conditional handover is executed</w:t>
      </w:r>
      <w:r w:rsidR="001F45BD">
        <w:rPr>
          <w:lang w:eastAsia="zh-CN"/>
        </w:rPr>
        <w:t>,</w:t>
      </w:r>
      <w:r w:rsidRPr="00645DEF">
        <w:rPr>
          <w:lang w:eastAsia="zh-CN"/>
        </w:rPr>
        <w:t xml:space="preserve"> i.e., before the short</w:t>
      </w:r>
      <w:r w:rsidR="001F45BD">
        <w:rPr>
          <w:lang w:eastAsia="zh-CN"/>
        </w:rPr>
        <w:t xml:space="preserve"> overlap</w:t>
      </w:r>
      <w:r w:rsidRPr="00645DEF">
        <w:rPr>
          <w:lang w:eastAsia="zh-CN"/>
        </w:rPr>
        <w:t xml:space="preserve"> time </w:t>
      </w:r>
      <w:r w:rsidR="001F45BD">
        <w:rPr>
          <w:lang w:eastAsia="zh-CN"/>
        </w:rPr>
        <w:t xml:space="preserve">between </w:t>
      </w:r>
      <w:r w:rsidR="00B25AD4" w:rsidRPr="00645DEF">
        <w:rPr>
          <w:lang w:eastAsia="zh-CN"/>
        </w:rPr>
        <w:t xml:space="preserve">the old (source) and the new (target) </w:t>
      </w:r>
      <w:r w:rsidRPr="00645DEF">
        <w:rPr>
          <w:lang w:eastAsia="zh-CN"/>
        </w:rPr>
        <w:t>cell</w:t>
      </w:r>
      <w:r w:rsidR="001F45BD">
        <w:rPr>
          <w:lang w:eastAsia="zh-CN"/>
        </w:rPr>
        <w:t>s</w:t>
      </w:r>
      <w:r w:rsidRPr="00645DEF">
        <w:rPr>
          <w:lang w:eastAsia="zh-CN"/>
        </w:rPr>
        <w:t>.</w:t>
      </w:r>
      <w:r w:rsidR="001F45BD">
        <w:rPr>
          <w:lang w:eastAsia="zh-CN"/>
        </w:rPr>
        <w:t xml:space="preserve"> </w:t>
      </w:r>
      <w:r w:rsidR="00B25AD4">
        <w:rPr>
          <w:lang w:eastAsia="zh-CN"/>
        </w:rPr>
        <w:t xml:space="preserve">In addition, </w:t>
      </w:r>
      <w:r w:rsidRPr="00645DEF">
        <w:rPr>
          <w:lang w:eastAsia="zh-CN"/>
        </w:rPr>
        <w:t>given the predictability of serving cell stop time and the short period of overlap</w:t>
      </w:r>
      <w:bookmarkStart w:id="11" w:name="_Hlk118120015"/>
      <w:r w:rsidR="00AC2B46">
        <w:rPr>
          <w:lang w:eastAsia="zh-CN"/>
        </w:rPr>
        <w:t xml:space="preserve">, </w:t>
      </w:r>
      <w:r w:rsidRPr="00645DEF">
        <w:rPr>
          <w:lang w:eastAsia="zh-CN"/>
        </w:rPr>
        <w:t xml:space="preserve">CHO and </w:t>
      </w:r>
      <w:r w:rsidR="00AC2B46">
        <w:rPr>
          <w:lang w:eastAsia="zh-CN"/>
        </w:rPr>
        <w:t xml:space="preserve">the </w:t>
      </w:r>
      <w:r w:rsidRPr="00645DEF">
        <w:rPr>
          <w:lang w:eastAsia="zh-CN"/>
        </w:rPr>
        <w:t xml:space="preserve">time-based trigger condition </w:t>
      </w:r>
      <w:r w:rsidR="00AC2B46">
        <w:rPr>
          <w:lang w:eastAsia="zh-CN"/>
        </w:rPr>
        <w:t>is a</w:t>
      </w:r>
      <w:r w:rsidR="00513907">
        <w:rPr>
          <w:lang w:eastAsia="zh-CN"/>
        </w:rPr>
        <w:t xml:space="preserve"> </w:t>
      </w:r>
      <w:r w:rsidRPr="00645DEF">
        <w:rPr>
          <w:lang w:eastAsia="zh-CN"/>
        </w:rPr>
        <w:t>well-suited concept for the</w:t>
      </w:r>
      <w:r w:rsidR="00297E72">
        <w:rPr>
          <w:lang w:eastAsia="zh-CN"/>
        </w:rPr>
        <w:t xml:space="preserve"> described problematic in the</w:t>
      </w:r>
      <w:r w:rsidRPr="00645DEF">
        <w:rPr>
          <w:lang w:eastAsia="zh-CN"/>
        </w:rPr>
        <w:t xml:space="preserve"> </w:t>
      </w:r>
      <w:r w:rsidR="00513907">
        <w:rPr>
          <w:lang w:eastAsia="zh-CN"/>
        </w:rPr>
        <w:t>above</w:t>
      </w:r>
      <w:r w:rsidRPr="00645DEF">
        <w:rPr>
          <w:lang w:eastAsia="zh-CN"/>
        </w:rPr>
        <w:t xml:space="preserve"> NTN scenario(s).</w:t>
      </w:r>
    </w:p>
    <w:p w14:paraId="6A008F78" w14:textId="77777777" w:rsidR="00B60A1F" w:rsidRPr="00645DEF" w:rsidRDefault="00B60A1F" w:rsidP="00645DEF">
      <w:pPr>
        <w:spacing w:after="120"/>
        <w:rPr>
          <w:lang w:eastAsia="zh-CN"/>
        </w:rPr>
      </w:pPr>
    </w:p>
    <w:p w14:paraId="13326129" w14:textId="14693209" w:rsidR="00645DEF" w:rsidRDefault="00645DEF" w:rsidP="00645DEF">
      <w:pPr>
        <w:pStyle w:val="Observation"/>
      </w:pPr>
      <w:bookmarkStart w:id="12" w:name="_Toc118196487"/>
      <w:bookmarkStart w:id="13" w:name="_Toc118444949"/>
      <w:bookmarkEnd w:id="11"/>
      <w:r w:rsidRPr="00645DEF">
        <w:t xml:space="preserve">CHO mitigates the signalling load in the source cell since handover preparation information can be sent well in </w:t>
      </w:r>
      <w:r w:rsidR="00506949">
        <w:t>advance</w:t>
      </w:r>
      <w:r w:rsidRPr="00645DEF">
        <w:t xml:space="preserve"> before the short </w:t>
      </w:r>
      <w:r w:rsidR="00506949">
        <w:t xml:space="preserve">overlap </w:t>
      </w:r>
      <w:r w:rsidRPr="00645DEF">
        <w:t xml:space="preserve">time </w:t>
      </w:r>
      <w:r w:rsidR="00506949">
        <w:t>between</w:t>
      </w:r>
      <w:r w:rsidRPr="00645DEF">
        <w:t xml:space="preserve"> old (source) cell and new (target) cell, or before a feeder link switch.</w:t>
      </w:r>
      <w:bookmarkEnd w:id="12"/>
      <w:bookmarkEnd w:id="13"/>
    </w:p>
    <w:p w14:paraId="1EF935DB" w14:textId="77777777" w:rsidR="00B60A1F" w:rsidRPr="00645DEF" w:rsidRDefault="00B60A1F" w:rsidP="00B60A1F">
      <w:pPr>
        <w:pStyle w:val="Observation"/>
        <w:numPr>
          <w:ilvl w:val="0"/>
          <w:numId w:val="0"/>
        </w:numPr>
        <w:ind w:left="1701" w:hanging="1701"/>
      </w:pPr>
    </w:p>
    <w:p w14:paraId="2B243774" w14:textId="61C8854F" w:rsidR="00645DEF" w:rsidRDefault="00645DEF" w:rsidP="00BB3E91">
      <w:pPr>
        <w:spacing w:after="120"/>
        <w:rPr>
          <w:lang w:eastAsia="zh-CN"/>
        </w:rPr>
      </w:pPr>
      <w:r w:rsidRPr="00645DEF">
        <w:rPr>
          <w:lang w:eastAsia="zh-CN"/>
        </w:rPr>
        <w:t xml:space="preserve">Another benefit </w:t>
      </w:r>
      <w:r w:rsidR="004A3E9A">
        <w:rPr>
          <w:lang w:eastAsia="zh-CN"/>
        </w:rPr>
        <w:t>of</w:t>
      </w:r>
      <w:r w:rsidRPr="00645DEF">
        <w:rPr>
          <w:lang w:eastAsia="zh-CN"/>
        </w:rPr>
        <w:t xml:space="preserve"> CHO is that </w:t>
      </w:r>
      <w:r w:rsidR="00C80103">
        <w:rPr>
          <w:lang w:eastAsia="zh-CN"/>
        </w:rPr>
        <w:t>a</w:t>
      </w:r>
      <w:r w:rsidRPr="00645DEF">
        <w:rPr>
          <w:lang w:eastAsia="zh-CN"/>
        </w:rPr>
        <w:t xml:space="preserve"> UE will</w:t>
      </w:r>
      <w:r w:rsidR="00C80103">
        <w:rPr>
          <w:lang w:eastAsia="zh-CN"/>
        </w:rPr>
        <w:t xml:space="preserve"> autonomously</w:t>
      </w:r>
      <w:r w:rsidRPr="00645DEF">
        <w:rPr>
          <w:lang w:eastAsia="zh-CN"/>
        </w:rPr>
        <w:t xml:space="preserve"> trigger handover execution to the target cell whenever the trigger conditions configured by the network is fulfilled.</w:t>
      </w:r>
      <w:r w:rsidR="004A3E9A">
        <w:rPr>
          <w:lang w:eastAsia="zh-CN"/>
        </w:rPr>
        <w:t xml:space="preserve"> </w:t>
      </w:r>
      <w:r w:rsidRPr="00645DEF">
        <w:rPr>
          <w:lang w:eastAsia="zh-CN"/>
        </w:rPr>
        <w:t xml:space="preserve">In other words, </w:t>
      </w:r>
      <w:r w:rsidR="00A943A2" w:rsidRPr="00645DEF">
        <w:rPr>
          <w:lang w:eastAsia="zh-CN"/>
        </w:rPr>
        <w:t xml:space="preserve">once the UE has been provided with a CHO trigger condition, no additional signalling is required between source node and UE for </w:t>
      </w:r>
      <w:r w:rsidR="00A34011">
        <w:rPr>
          <w:lang w:eastAsia="zh-CN"/>
        </w:rPr>
        <w:t>the procedure to complete successfully</w:t>
      </w:r>
      <w:r w:rsidR="00A943A2" w:rsidRPr="00645DEF">
        <w:rPr>
          <w:lang w:eastAsia="zh-CN"/>
        </w:rPr>
        <w:t>.</w:t>
      </w:r>
      <w:r w:rsidR="00A943A2">
        <w:rPr>
          <w:lang w:eastAsia="zh-CN"/>
        </w:rPr>
        <w:t xml:space="preserve"> </w:t>
      </w:r>
      <w:r w:rsidR="00A34011">
        <w:rPr>
          <w:lang w:eastAsia="zh-CN"/>
        </w:rPr>
        <w:t>In contrast, t</w:t>
      </w:r>
      <w:r w:rsidRPr="00645DEF">
        <w:rPr>
          <w:lang w:eastAsia="zh-CN"/>
        </w:rPr>
        <w:t xml:space="preserve">he </w:t>
      </w:r>
      <w:bookmarkStart w:id="14" w:name="_Hlk118122496"/>
      <w:r w:rsidRPr="00645DEF">
        <w:rPr>
          <w:lang w:eastAsia="zh-CN"/>
        </w:rPr>
        <w:t xml:space="preserve">group-based handover concept </w:t>
      </w:r>
      <w:bookmarkEnd w:id="14"/>
      <w:r w:rsidRPr="00645DEF">
        <w:rPr>
          <w:lang w:eastAsia="zh-CN"/>
        </w:rPr>
        <w:t xml:space="preserve">discussed </w:t>
      </w:r>
      <w:r w:rsidR="00E2331E">
        <w:rPr>
          <w:lang w:eastAsia="zh-CN"/>
        </w:rPr>
        <w:t>during</w:t>
      </w:r>
      <w:r w:rsidRPr="00645DEF">
        <w:rPr>
          <w:lang w:eastAsia="zh-CN"/>
        </w:rPr>
        <w:t xml:space="preserve"> RAN2#119bis-e [</w:t>
      </w:r>
      <w:r w:rsidR="00340D7D">
        <w:rPr>
          <w:lang w:eastAsia="zh-CN"/>
        </w:rPr>
        <w:t>3</w:t>
      </w:r>
      <w:r w:rsidRPr="00645DEF">
        <w:rPr>
          <w:lang w:eastAsia="zh-CN"/>
        </w:rPr>
        <w:t>]</w:t>
      </w:r>
      <w:r w:rsidR="00A34011">
        <w:rPr>
          <w:lang w:eastAsia="zh-CN"/>
        </w:rPr>
        <w:t xml:space="preserve"> is less efficient because it requires an additional </w:t>
      </w:r>
      <w:r w:rsidR="00EE4156">
        <w:rPr>
          <w:lang w:eastAsia="zh-CN"/>
        </w:rPr>
        <w:t xml:space="preserve">group specific </w:t>
      </w:r>
      <w:r w:rsidR="00A34011">
        <w:rPr>
          <w:lang w:eastAsia="zh-CN"/>
        </w:rPr>
        <w:t>indication</w:t>
      </w:r>
      <w:r w:rsidR="00EE4156">
        <w:rPr>
          <w:lang w:eastAsia="zh-CN"/>
        </w:rPr>
        <w:t>.</w:t>
      </w:r>
      <w:r w:rsidR="00814402">
        <w:rPr>
          <w:lang w:eastAsia="zh-CN"/>
        </w:rPr>
        <w:t xml:space="preserve"> U</w:t>
      </w:r>
      <w:r w:rsidR="007840DA">
        <w:rPr>
          <w:lang w:eastAsia="zh-CN"/>
        </w:rPr>
        <w:t>nlike group HO, conditional handover</w:t>
      </w:r>
      <w:r w:rsidRPr="00645DEF">
        <w:rPr>
          <w:lang w:eastAsia="zh-CN"/>
        </w:rPr>
        <w:t xml:space="preserve"> is comparable to regular handover concept from a security point of view.</w:t>
      </w:r>
    </w:p>
    <w:p w14:paraId="5DDCB69F" w14:textId="77777777" w:rsidR="001A0BD1" w:rsidRPr="00645DEF" w:rsidRDefault="001A0BD1" w:rsidP="00645DEF">
      <w:pPr>
        <w:spacing w:after="120"/>
        <w:rPr>
          <w:lang w:eastAsia="zh-CN"/>
        </w:rPr>
      </w:pPr>
    </w:p>
    <w:p w14:paraId="2770199C" w14:textId="4E05D0DF" w:rsidR="00645DEF" w:rsidRDefault="00032D31" w:rsidP="00645DEF">
      <w:pPr>
        <w:pStyle w:val="Observation"/>
      </w:pPr>
      <w:bookmarkStart w:id="15" w:name="_Toc118196488"/>
      <w:bookmarkStart w:id="16" w:name="_Toc118444950"/>
      <w:r>
        <w:t xml:space="preserve">Unlike CHO, </w:t>
      </w:r>
      <w:r w:rsidR="00645DEF" w:rsidRPr="00645DEF">
        <w:t xml:space="preserve">group-based handover </w:t>
      </w:r>
      <w:r>
        <w:t xml:space="preserve">requires </w:t>
      </w:r>
      <w:r w:rsidR="00645DEF" w:rsidRPr="00645DEF">
        <w:t xml:space="preserve">additional signalling between network and </w:t>
      </w:r>
      <w:r w:rsidR="0077308A">
        <w:t>a group of</w:t>
      </w:r>
      <w:r w:rsidR="00645DEF" w:rsidRPr="00645DEF">
        <w:t xml:space="preserve"> UE</w:t>
      </w:r>
      <w:r w:rsidR="0077308A">
        <w:t>s</w:t>
      </w:r>
      <w:r w:rsidR="00645DEF" w:rsidRPr="00645DEF">
        <w:t xml:space="preserve"> to trigger handover to the target cell</w:t>
      </w:r>
      <w:r w:rsidR="006045CF">
        <w:t xml:space="preserve"> and may raise security concerns</w:t>
      </w:r>
      <w:r w:rsidR="00645DEF" w:rsidRPr="00645DEF">
        <w:t>.</w:t>
      </w:r>
      <w:bookmarkEnd w:id="15"/>
      <w:bookmarkEnd w:id="16"/>
    </w:p>
    <w:p w14:paraId="5A8B050F" w14:textId="77777777" w:rsidR="001A0BD1" w:rsidRPr="00645DEF" w:rsidRDefault="001A0BD1" w:rsidP="001A0BD1">
      <w:pPr>
        <w:pStyle w:val="Observation"/>
        <w:numPr>
          <w:ilvl w:val="0"/>
          <w:numId w:val="0"/>
        </w:numPr>
        <w:ind w:left="1701" w:hanging="1701"/>
      </w:pPr>
    </w:p>
    <w:p w14:paraId="12933F8E" w14:textId="364EC344" w:rsidR="00645DEF" w:rsidRDefault="00645DEF" w:rsidP="00645DEF">
      <w:pPr>
        <w:spacing w:after="120"/>
        <w:rPr>
          <w:lang w:eastAsia="zh-CN"/>
        </w:rPr>
      </w:pPr>
      <w:r w:rsidRPr="00645DEF">
        <w:rPr>
          <w:lang w:eastAsia="zh-CN"/>
        </w:rPr>
        <w:t xml:space="preserve">Given the above benefits of CHO, we propose RAN2 to use CHO as a basis for the continued discussions on signalling overhead reduction and thus to further optimize the CHO concept for the </w:t>
      </w:r>
      <w:r w:rsidR="001E3535" w:rsidRPr="001E3535">
        <w:rPr>
          <w:lang w:eastAsia="zh-CN"/>
        </w:rPr>
        <w:t xml:space="preserve">quasi-earth fixed </w:t>
      </w:r>
      <w:r w:rsidR="001E3535">
        <w:rPr>
          <w:lang w:eastAsia="zh-CN"/>
        </w:rPr>
        <w:t xml:space="preserve">and </w:t>
      </w:r>
      <w:r w:rsidR="00CB4148">
        <w:rPr>
          <w:lang w:eastAsia="zh-CN"/>
        </w:rPr>
        <w:t>E</w:t>
      </w:r>
      <w:r w:rsidR="001E3535" w:rsidRPr="001E3535">
        <w:rPr>
          <w:lang w:eastAsia="zh-CN"/>
        </w:rPr>
        <w:t>arth-moving cell scenario</w:t>
      </w:r>
      <w:r w:rsidR="001E3535">
        <w:rPr>
          <w:lang w:eastAsia="zh-CN"/>
        </w:rPr>
        <w:t>s</w:t>
      </w:r>
      <w:r w:rsidRPr="00645DEF">
        <w:rPr>
          <w:lang w:eastAsia="zh-CN"/>
        </w:rPr>
        <w:t>.</w:t>
      </w:r>
    </w:p>
    <w:p w14:paraId="1AF7F028" w14:textId="77777777" w:rsidR="001A0BD1" w:rsidRPr="00645DEF" w:rsidRDefault="001A0BD1" w:rsidP="00645DEF">
      <w:pPr>
        <w:spacing w:after="120"/>
        <w:rPr>
          <w:lang w:eastAsia="zh-CN"/>
        </w:rPr>
      </w:pPr>
    </w:p>
    <w:p w14:paraId="46192409" w14:textId="33784998" w:rsidR="00E203C0" w:rsidRDefault="00FE6581" w:rsidP="00645DEF">
      <w:pPr>
        <w:pStyle w:val="Proposal"/>
      </w:pPr>
      <w:bookmarkStart w:id="17" w:name="_Toc118196491"/>
      <w:bookmarkStart w:id="18" w:name="_Toc118444958"/>
      <w:r>
        <w:t xml:space="preserve">RAN2 </w:t>
      </w:r>
      <w:r w:rsidR="003171EF">
        <w:t xml:space="preserve">to </w:t>
      </w:r>
      <w:r>
        <w:t xml:space="preserve">focus on CHO enhancements to reduce </w:t>
      </w:r>
      <w:r w:rsidR="00541032">
        <w:t xml:space="preserve">HO </w:t>
      </w:r>
      <w:r>
        <w:t>s</w:t>
      </w:r>
      <w:r w:rsidR="00645DEF" w:rsidRPr="00645DEF">
        <w:t>ignalling overhead</w:t>
      </w:r>
      <w:bookmarkEnd w:id="17"/>
      <w:r>
        <w:t xml:space="preserve"> in NTN</w:t>
      </w:r>
      <w:r w:rsidR="005445A9">
        <w:t>.</w:t>
      </w:r>
      <w:bookmarkEnd w:id="18"/>
    </w:p>
    <w:p w14:paraId="62F65796" w14:textId="77777777" w:rsidR="005445A9" w:rsidRDefault="005445A9" w:rsidP="005445A9">
      <w:pPr>
        <w:pStyle w:val="Proposal"/>
        <w:numPr>
          <w:ilvl w:val="0"/>
          <w:numId w:val="0"/>
        </w:numPr>
        <w:ind w:left="1701" w:hanging="1701"/>
      </w:pPr>
    </w:p>
    <w:p w14:paraId="3B10782A" w14:textId="2A8FD1DD" w:rsidR="00E45CE8" w:rsidRDefault="00E45CE8" w:rsidP="00E45CE8">
      <w:pPr>
        <w:pStyle w:val="Heading4"/>
      </w:pPr>
      <w:r>
        <w:lastRenderedPageBreak/>
        <w:t>2.1.2.2</w:t>
      </w:r>
      <w:r>
        <w:tab/>
        <w:t>Common target cell configuration</w:t>
      </w:r>
    </w:p>
    <w:p w14:paraId="54C985EE" w14:textId="2F5F5F62" w:rsidR="00641FDB" w:rsidRDefault="001202E0" w:rsidP="00B31D67">
      <w:pPr>
        <w:rPr>
          <w:lang w:eastAsia="zh-CN"/>
        </w:rPr>
      </w:pPr>
      <w:r>
        <w:rPr>
          <w:lang w:eastAsia="zh-CN"/>
        </w:rPr>
        <w:t xml:space="preserve">As mentioned in the background, most </w:t>
      </w:r>
      <w:r w:rsidR="00645DEF" w:rsidRPr="00645DEF">
        <w:rPr>
          <w:lang w:eastAsia="zh-CN"/>
        </w:rPr>
        <w:t xml:space="preserve">UEs in the source cell will be handed over to the target cell </w:t>
      </w:r>
      <w:r w:rsidR="00093E4E">
        <w:rPr>
          <w:lang w:eastAsia="zh-CN"/>
        </w:rPr>
        <w:t xml:space="preserve">which </w:t>
      </w:r>
      <w:r w:rsidR="00645DEF" w:rsidRPr="00645DEF">
        <w:rPr>
          <w:lang w:eastAsia="zh-CN"/>
        </w:rPr>
        <w:t>replac</w:t>
      </w:r>
      <w:r w:rsidR="00093E4E">
        <w:rPr>
          <w:lang w:eastAsia="zh-CN"/>
        </w:rPr>
        <w:t>es</w:t>
      </w:r>
      <w:r w:rsidR="00645DEF" w:rsidRPr="00645DEF">
        <w:rPr>
          <w:lang w:eastAsia="zh-CN"/>
        </w:rPr>
        <w:t xml:space="preserve"> the coverage </w:t>
      </w:r>
      <w:r w:rsidR="009E4EB6">
        <w:rPr>
          <w:lang w:eastAsia="zh-CN"/>
        </w:rPr>
        <w:t xml:space="preserve">in the </w:t>
      </w:r>
      <w:r w:rsidR="004147C2">
        <w:rPr>
          <w:lang w:eastAsia="zh-CN"/>
        </w:rPr>
        <w:t xml:space="preserve">same </w:t>
      </w:r>
      <w:r w:rsidR="009E4EB6">
        <w:rPr>
          <w:lang w:eastAsia="zh-CN"/>
        </w:rPr>
        <w:t xml:space="preserve">geographical </w:t>
      </w:r>
      <w:r w:rsidR="00645DEF" w:rsidRPr="00645DEF">
        <w:rPr>
          <w:lang w:eastAsia="zh-CN"/>
        </w:rPr>
        <w:t>area</w:t>
      </w:r>
      <w:r w:rsidR="00093E4E">
        <w:rPr>
          <w:lang w:eastAsia="zh-CN"/>
        </w:rPr>
        <w:t xml:space="preserve">. </w:t>
      </w:r>
      <w:r w:rsidR="00641FDB">
        <w:rPr>
          <w:lang w:eastAsia="zh-CN"/>
        </w:rPr>
        <w:t>During RAN2#119-e, the following was agreed:</w:t>
      </w:r>
    </w:p>
    <w:p w14:paraId="6B2192CD" w14:textId="19113D98" w:rsidR="00641FDB" w:rsidRDefault="00B823A0" w:rsidP="00B823A0">
      <w:pPr>
        <w:pStyle w:val="ListParagraph"/>
        <w:numPr>
          <w:ilvl w:val="0"/>
          <w:numId w:val="35"/>
        </w:numPr>
        <w:rPr>
          <w:lang w:eastAsia="zh-CN"/>
        </w:rPr>
      </w:pPr>
      <w:r w:rsidRPr="00B823A0">
        <w:rPr>
          <w:lang w:eastAsia="zh-CN"/>
        </w:rPr>
        <w:t>RAN2 can further consider whether some information in the handover command that can be common to all UEs, can be delivered to UEs in common signalling and if there is real benefit (in terms of signalling overhead reduction) in this.</w:t>
      </w:r>
    </w:p>
    <w:p w14:paraId="323C9302" w14:textId="77777777" w:rsidR="00641FDB" w:rsidRDefault="00641FDB" w:rsidP="00B31D67">
      <w:pPr>
        <w:rPr>
          <w:lang w:eastAsia="zh-CN"/>
        </w:rPr>
      </w:pPr>
    </w:p>
    <w:p w14:paraId="671C687F" w14:textId="792B5CB6" w:rsidR="00645DEF" w:rsidRDefault="009A2ECD" w:rsidP="00B31D67">
      <w:pPr>
        <w:rPr>
          <w:lang w:eastAsia="zh-CN"/>
        </w:rPr>
      </w:pPr>
      <w:r>
        <w:rPr>
          <w:lang w:eastAsia="zh-CN"/>
        </w:rPr>
        <w:t>T</w:t>
      </w:r>
      <w:r w:rsidR="00645DEF" w:rsidRPr="00645DEF">
        <w:rPr>
          <w:lang w:eastAsia="zh-CN"/>
        </w:rPr>
        <w:t>he target cell configuration provided to each UE in the (C)HO command (</w:t>
      </w:r>
      <w:r w:rsidR="00645DEF" w:rsidRPr="00645DEF">
        <w:rPr>
          <w:i/>
          <w:iCs/>
          <w:lang w:eastAsia="zh-CN"/>
        </w:rPr>
        <w:t>reconfigurationWithSync</w:t>
      </w:r>
      <w:r w:rsidR="00645DEF" w:rsidRPr="00645DEF">
        <w:rPr>
          <w:lang w:eastAsia="zh-CN"/>
        </w:rPr>
        <w:t>) is identical</w:t>
      </w:r>
      <w:r w:rsidR="003B5E57">
        <w:rPr>
          <w:lang w:eastAsia="zh-CN"/>
        </w:rPr>
        <w:t xml:space="preserve"> and there is potential for opt</w:t>
      </w:r>
      <w:r w:rsidR="004E2123">
        <w:rPr>
          <w:lang w:eastAsia="zh-CN"/>
        </w:rPr>
        <w:t>i</w:t>
      </w:r>
      <w:r w:rsidR="003B5E57">
        <w:rPr>
          <w:lang w:eastAsia="zh-CN"/>
        </w:rPr>
        <w:t>mization</w:t>
      </w:r>
      <w:r w:rsidR="00645DEF" w:rsidRPr="00645DEF">
        <w:rPr>
          <w:lang w:eastAsia="zh-CN"/>
        </w:rPr>
        <w:t>.</w:t>
      </w:r>
      <w:r w:rsidR="00B31D67">
        <w:rPr>
          <w:lang w:eastAsia="zh-CN"/>
        </w:rPr>
        <w:t xml:space="preserve"> </w:t>
      </w:r>
      <w:r w:rsidR="00645DEF" w:rsidRPr="00645DEF">
        <w:rPr>
          <w:lang w:eastAsia="zh-CN"/>
        </w:rPr>
        <w:t xml:space="preserve">This concerns most of the target cell parameters included in </w:t>
      </w:r>
      <w:r w:rsidR="00645DEF" w:rsidRPr="00645DEF">
        <w:rPr>
          <w:i/>
          <w:iCs/>
          <w:lang w:eastAsia="zh-CN"/>
        </w:rPr>
        <w:t>servingCellConfigCommon</w:t>
      </w:r>
      <w:r w:rsidR="00645DEF" w:rsidRPr="00645DEF">
        <w:rPr>
          <w:lang w:eastAsia="zh-CN"/>
        </w:rPr>
        <w:t xml:space="preserve"> and in </w:t>
      </w:r>
      <w:r w:rsidR="00645DEF" w:rsidRPr="00645DEF">
        <w:rPr>
          <w:i/>
          <w:iCs/>
          <w:lang w:eastAsia="zh-CN"/>
        </w:rPr>
        <w:t>ntn-Config</w:t>
      </w:r>
      <w:r w:rsidR="00645DEF" w:rsidRPr="00645DEF">
        <w:rPr>
          <w:lang w:eastAsia="zh-CN"/>
        </w:rPr>
        <w:t xml:space="preserve"> IE</w:t>
      </w:r>
      <w:r w:rsidR="004147C2">
        <w:rPr>
          <w:lang w:eastAsia="zh-CN"/>
        </w:rPr>
        <w:t>s</w:t>
      </w:r>
      <w:r w:rsidR="00205DDB">
        <w:rPr>
          <w:lang w:eastAsia="zh-CN"/>
        </w:rPr>
        <w:t xml:space="preserve"> as well as </w:t>
      </w:r>
      <w:r w:rsidR="00645DEF" w:rsidRPr="00645DEF">
        <w:rPr>
          <w:lang w:eastAsia="zh-CN"/>
        </w:rPr>
        <w:t xml:space="preserve">also CHO related information such as the CHO </w:t>
      </w:r>
      <w:r w:rsidR="00513907">
        <w:rPr>
          <w:lang w:eastAsia="zh-CN"/>
        </w:rPr>
        <w:t>execution</w:t>
      </w:r>
      <w:r w:rsidR="00645DEF" w:rsidRPr="00645DEF">
        <w:rPr>
          <w:lang w:eastAsia="zh-CN"/>
        </w:rPr>
        <w:t xml:space="preserve"> conditions.</w:t>
      </w:r>
    </w:p>
    <w:p w14:paraId="64CFABCB" w14:textId="77777777" w:rsidR="00375B72" w:rsidRPr="00645DEF" w:rsidRDefault="00375B72" w:rsidP="00645DEF">
      <w:pPr>
        <w:spacing w:after="120"/>
        <w:rPr>
          <w:lang w:eastAsia="zh-CN"/>
        </w:rPr>
      </w:pPr>
    </w:p>
    <w:p w14:paraId="47E1C061" w14:textId="689467EE" w:rsidR="00645DEF" w:rsidRDefault="00C13275" w:rsidP="00645DEF">
      <w:pPr>
        <w:pStyle w:val="Observation"/>
      </w:pPr>
      <w:bookmarkStart w:id="19" w:name="_Toc118196489"/>
      <w:bookmarkStart w:id="20" w:name="_Toc118444951"/>
      <w:r>
        <w:t>Mo</w:t>
      </w:r>
      <w:r w:rsidR="00645DEF" w:rsidRPr="00645DEF">
        <w:t>st information provided to each UE in the (C)HO command describing target cell configuration is identical for all UEs accessing the same target cell.</w:t>
      </w:r>
      <w:bookmarkEnd w:id="19"/>
      <w:bookmarkEnd w:id="20"/>
    </w:p>
    <w:p w14:paraId="5B7A2B86" w14:textId="77777777" w:rsidR="00375B72" w:rsidRPr="00645DEF" w:rsidRDefault="00375B72" w:rsidP="00375B72">
      <w:pPr>
        <w:pStyle w:val="Observation"/>
        <w:numPr>
          <w:ilvl w:val="0"/>
          <w:numId w:val="0"/>
        </w:numPr>
        <w:ind w:left="1701" w:hanging="1701"/>
      </w:pPr>
    </w:p>
    <w:p w14:paraId="5E454A11" w14:textId="30538B58" w:rsidR="00B86269" w:rsidRDefault="00D17A73" w:rsidP="00645DEF">
      <w:pPr>
        <w:spacing w:after="120"/>
        <w:rPr>
          <w:lang w:eastAsia="zh-CN"/>
        </w:rPr>
      </w:pPr>
      <w:r>
        <w:rPr>
          <w:lang w:eastAsia="zh-CN"/>
        </w:rPr>
        <w:t>In this way</w:t>
      </w:r>
      <w:r w:rsidR="00645DEF" w:rsidRPr="00645DEF">
        <w:rPr>
          <w:lang w:eastAsia="zh-CN"/>
        </w:rPr>
        <w:t>, methods can be explored to provide common target cell configuration to each UE in a non-dedicated manner</w:t>
      </w:r>
      <w:r>
        <w:rPr>
          <w:lang w:eastAsia="zh-CN"/>
        </w:rPr>
        <w:t>. For instance, c</w:t>
      </w:r>
      <w:r w:rsidR="00645DEF" w:rsidRPr="00645DEF">
        <w:rPr>
          <w:lang w:eastAsia="zh-CN"/>
        </w:rPr>
        <w:t xml:space="preserve">ommon target cell configuration </w:t>
      </w:r>
      <w:r>
        <w:rPr>
          <w:lang w:eastAsia="zh-CN"/>
        </w:rPr>
        <w:t>can be broadcast in System Information</w:t>
      </w:r>
      <w:r w:rsidR="00645DEF" w:rsidRPr="00645DEF">
        <w:rPr>
          <w:lang w:eastAsia="zh-CN"/>
        </w:rPr>
        <w:t xml:space="preserve">. </w:t>
      </w:r>
      <w:r w:rsidR="001A3EE1">
        <w:rPr>
          <w:lang w:eastAsia="zh-CN"/>
        </w:rPr>
        <w:t xml:space="preserve">Nonetheless, </w:t>
      </w:r>
      <w:r w:rsidR="00B05561">
        <w:rPr>
          <w:lang w:eastAsia="zh-CN"/>
        </w:rPr>
        <w:t>there are certain</w:t>
      </w:r>
      <w:r w:rsidR="00645DEF" w:rsidRPr="00645DEF">
        <w:rPr>
          <w:lang w:eastAsia="zh-CN"/>
        </w:rPr>
        <w:t xml:space="preserve"> target cell related configuration</w:t>
      </w:r>
      <w:r w:rsidR="00B05561">
        <w:rPr>
          <w:lang w:eastAsia="zh-CN"/>
        </w:rPr>
        <w:t>s</w:t>
      </w:r>
      <w:r w:rsidR="00645DEF" w:rsidRPr="00645DEF">
        <w:rPr>
          <w:lang w:eastAsia="zh-CN"/>
        </w:rPr>
        <w:t xml:space="preserve"> that still need to be sent in dedicated </w:t>
      </w:r>
      <w:r w:rsidR="00B05561">
        <w:rPr>
          <w:lang w:eastAsia="zh-CN"/>
        </w:rPr>
        <w:t xml:space="preserve">manner </w:t>
      </w:r>
      <w:r w:rsidR="00645DEF" w:rsidRPr="00645DEF">
        <w:rPr>
          <w:lang w:eastAsia="zh-CN"/>
        </w:rPr>
        <w:t>to each UE such as C-RNTI and new security keys.</w:t>
      </w:r>
    </w:p>
    <w:p w14:paraId="1E33CC33" w14:textId="77777777" w:rsidR="00B86269" w:rsidRDefault="00B86269" w:rsidP="00645DEF">
      <w:pPr>
        <w:spacing w:after="120"/>
        <w:rPr>
          <w:lang w:eastAsia="zh-CN"/>
        </w:rPr>
      </w:pPr>
    </w:p>
    <w:p w14:paraId="228B10B7" w14:textId="3C1A1709" w:rsidR="00B86269" w:rsidRDefault="00B86269" w:rsidP="00137013">
      <w:pPr>
        <w:pStyle w:val="Observation"/>
      </w:pPr>
      <w:bookmarkStart w:id="21" w:name="_Toc118444952"/>
      <w:r>
        <w:t xml:space="preserve">Certain target cell </w:t>
      </w:r>
      <w:r w:rsidR="00857654">
        <w:t>configurations such as C-RTNI or security keys need to be sent in a dedicated manner to each UE.</w:t>
      </w:r>
      <w:bookmarkEnd w:id="21"/>
    </w:p>
    <w:p w14:paraId="2148CBC0" w14:textId="77777777" w:rsidR="00473D02" w:rsidRDefault="00473D02" w:rsidP="00473D02"/>
    <w:p w14:paraId="77A6E948" w14:textId="57A3A444" w:rsidR="00473D02" w:rsidRDefault="00473D02" w:rsidP="00473D02">
      <w:r>
        <w:rPr>
          <w:lang w:eastAsia="zh-CN"/>
        </w:rPr>
        <w:t xml:space="preserve">Group-based handover proposes to </w:t>
      </w:r>
      <w:r w:rsidR="00AA72D9">
        <w:rPr>
          <w:lang w:eastAsia="zh-CN"/>
        </w:rPr>
        <w:t xml:space="preserve">reduce signalling overhead by sending </w:t>
      </w:r>
      <w:r>
        <w:rPr>
          <w:lang w:eastAsia="zh-CN"/>
        </w:rPr>
        <w:t xml:space="preserve">common information to a group of UEs. </w:t>
      </w:r>
      <w:r w:rsidR="00AA72D9">
        <w:rPr>
          <w:lang w:eastAsia="zh-CN"/>
        </w:rPr>
        <w:t xml:space="preserve">Therefore, </w:t>
      </w:r>
      <w:r w:rsidR="00E9406B">
        <w:rPr>
          <w:lang w:eastAsia="zh-CN"/>
        </w:rPr>
        <w:t xml:space="preserve">this </w:t>
      </w:r>
      <w:r w:rsidR="00AA72D9">
        <w:rPr>
          <w:lang w:eastAsia="zh-CN"/>
        </w:rPr>
        <w:t>common information may be transmitted several times for different UE groups</w:t>
      </w:r>
      <w:r w:rsidR="00CD5ABD">
        <w:rPr>
          <w:lang w:eastAsia="zh-CN"/>
        </w:rPr>
        <w:t xml:space="preserve">, </w:t>
      </w:r>
      <w:r w:rsidR="00E9406B">
        <w:rPr>
          <w:lang w:eastAsia="zh-CN"/>
        </w:rPr>
        <w:t>having as a result a certain av</w:t>
      </w:r>
      <w:r w:rsidR="00CD5ABD">
        <w:rPr>
          <w:lang w:eastAsia="zh-CN"/>
        </w:rPr>
        <w:t>oidable signalling overhead</w:t>
      </w:r>
      <w:r w:rsidR="00AA72D9">
        <w:rPr>
          <w:lang w:eastAsia="zh-CN"/>
        </w:rPr>
        <w:t xml:space="preserve">. </w:t>
      </w:r>
      <w:r>
        <w:rPr>
          <w:lang w:eastAsia="zh-CN"/>
        </w:rPr>
        <w:t xml:space="preserve">In contrast, </w:t>
      </w:r>
      <w:r w:rsidR="00E9406B">
        <w:rPr>
          <w:lang w:eastAsia="zh-CN"/>
        </w:rPr>
        <w:t xml:space="preserve">the method to </w:t>
      </w:r>
      <w:r w:rsidR="00CD5ABD">
        <w:rPr>
          <w:lang w:eastAsia="zh-CN"/>
        </w:rPr>
        <w:t>broadcas</w:t>
      </w:r>
      <w:r w:rsidR="00E9406B">
        <w:rPr>
          <w:lang w:eastAsia="zh-CN"/>
        </w:rPr>
        <w:t>t</w:t>
      </w:r>
      <w:r w:rsidR="00CD5ABD">
        <w:rPr>
          <w:lang w:eastAsia="zh-CN"/>
        </w:rPr>
        <w:t xml:space="preserve"> </w:t>
      </w:r>
      <w:r w:rsidR="00E9406B">
        <w:rPr>
          <w:lang w:eastAsia="zh-CN"/>
        </w:rPr>
        <w:t xml:space="preserve">target cell </w:t>
      </w:r>
      <w:r w:rsidR="00CD5ABD">
        <w:rPr>
          <w:lang w:eastAsia="zh-CN"/>
        </w:rPr>
        <w:t xml:space="preserve">common information </w:t>
      </w:r>
      <w:r w:rsidR="00E9406B">
        <w:rPr>
          <w:lang w:eastAsia="zh-CN"/>
        </w:rPr>
        <w:t xml:space="preserve">in System Information </w:t>
      </w:r>
      <w:r w:rsidR="00DB2971">
        <w:rPr>
          <w:lang w:eastAsia="zh-CN"/>
        </w:rPr>
        <w:t xml:space="preserve">might be a leaner approach since it </w:t>
      </w:r>
      <w:r>
        <w:rPr>
          <w:lang w:eastAsia="zh-CN"/>
        </w:rPr>
        <w:t>applies to all UEs in the cell.</w:t>
      </w:r>
    </w:p>
    <w:p w14:paraId="27613B8C" w14:textId="77777777" w:rsidR="00B86269" w:rsidRDefault="00B86269" w:rsidP="00645DEF">
      <w:pPr>
        <w:spacing w:after="120"/>
        <w:rPr>
          <w:lang w:eastAsia="zh-CN"/>
        </w:rPr>
      </w:pPr>
    </w:p>
    <w:p w14:paraId="693B2D07" w14:textId="78FFA256" w:rsidR="000662DE" w:rsidRDefault="000662DE" w:rsidP="00137013">
      <w:pPr>
        <w:pStyle w:val="Observation"/>
        <w:rPr>
          <w:lang w:eastAsia="zh-CN"/>
        </w:rPr>
      </w:pPr>
      <w:bookmarkStart w:id="22" w:name="_Toc118444953"/>
      <w:r>
        <w:rPr>
          <w:lang w:eastAsia="zh-CN"/>
        </w:rPr>
        <w:t xml:space="preserve">Group-based handover distributes common information </w:t>
      </w:r>
      <w:r w:rsidR="00137013">
        <w:rPr>
          <w:lang w:eastAsia="zh-CN"/>
        </w:rPr>
        <w:t xml:space="preserve">on a </w:t>
      </w:r>
      <w:r>
        <w:rPr>
          <w:lang w:eastAsia="zh-CN"/>
        </w:rPr>
        <w:t xml:space="preserve">per group basis which might entail </w:t>
      </w:r>
      <w:r w:rsidR="00137013">
        <w:rPr>
          <w:lang w:eastAsia="zh-CN"/>
        </w:rPr>
        <w:t>more signalling overhead than broadcasting</w:t>
      </w:r>
      <w:r w:rsidR="00BC0386">
        <w:rPr>
          <w:lang w:eastAsia="zh-CN"/>
        </w:rPr>
        <w:t xml:space="preserve"> in System Information</w:t>
      </w:r>
      <w:r w:rsidR="00137013">
        <w:rPr>
          <w:lang w:eastAsia="zh-CN"/>
        </w:rPr>
        <w:t>.</w:t>
      </w:r>
      <w:bookmarkEnd w:id="22"/>
    </w:p>
    <w:p w14:paraId="36E0B945" w14:textId="77777777" w:rsidR="000662DE" w:rsidRDefault="000662DE" w:rsidP="00645DEF">
      <w:pPr>
        <w:spacing w:after="120"/>
        <w:rPr>
          <w:lang w:eastAsia="zh-CN"/>
        </w:rPr>
      </w:pPr>
    </w:p>
    <w:p w14:paraId="60444178" w14:textId="0F23082E" w:rsidR="00645DEF" w:rsidRDefault="00BC0386" w:rsidP="00645DEF">
      <w:pPr>
        <w:spacing w:after="120"/>
        <w:rPr>
          <w:lang w:eastAsia="zh-CN"/>
        </w:rPr>
      </w:pPr>
      <w:r>
        <w:rPr>
          <w:lang w:eastAsia="zh-CN"/>
        </w:rPr>
        <w:t xml:space="preserve">Finally, </w:t>
      </w:r>
      <w:r w:rsidR="00645DEF" w:rsidRPr="00645DEF">
        <w:rPr>
          <w:lang w:eastAsia="zh-CN"/>
        </w:rPr>
        <w:t>UE</w:t>
      </w:r>
      <w:r>
        <w:rPr>
          <w:lang w:eastAsia="zh-CN"/>
        </w:rPr>
        <w:t>s</w:t>
      </w:r>
      <w:r w:rsidR="00645DEF" w:rsidRPr="00645DEF">
        <w:rPr>
          <w:lang w:eastAsia="zh-CN"/>
        </w:rPr>
        <w:t xml:space="preserve"> moving closer to the cell border of a neighbour cell </w:t>
      </w:r>
      <w:r>
        <w:rPr>
          <w:lang w:eastAsia="zh-CN"/>
        </w:rPr>
        <w:t xml:space="preserve">can be an exception as described in the background section. </w:t>
      </w:r>
      <w:r w:rsidR="00034882">
        <w:rPr>
          <w:lang w:eastAsia="zh-CN"/>
        </w:rPr>
        <w:t>In this case</w:t>
      </w:r>
      <w:r w:rsidR="00645DEF" w:rsidRPr="00645DEF">
        <w:rPr>
          <w:lang w:eastAsia="zh-CN"/>
        </w:rPr>
        <w:t xml:space="preserve">, </w:t>
      </w:r>
      <w:r w:rsidR="00034882">
        <w:rPr>
          <w:lang w:eastAsia="zh-CN"/>
        </w:rPr>
        <w:t xml:space="preserve">the network can simply configure </w:t>
      </w:r>
      <w:r w:rsidR="00251547" w:rsidRPr="00645DEF">
        <w:rPr>
          <w:lang w:eastAsia="zh-CN"/>
        </w:rPr>
        <w:t xml:space="preserve">a </w:t>
      </w:r>
      <w:r w:rsidR="00034882">
        <w:rPr>
          <w:lang w:eastAsia="zh-CN"/>
        </w:rPr>
        <w:t xml:space="preserve">(dedicated) </w:t>
      </w:r>
      <w:r w:rsidR="00251547" w:rsidRPr="00645DEF">
        <w:rPr>
          <w:lang w:eastAsia="zh-CN"/>
        </w:rPr>
        <w:t xml:space="preserve">CHO location-based trigger condition for the </w:t>
      </w:r>
      <w:r w:rsidR="00251547">
        <w:rPr>
          <w:lang w:eastAsia="zh-CN"/>
        </w:rPr>
        <w:t>concerned candidate target (</w:t>
      </w:r>
      <w:r w:rsidR="00251547" w:rsidRPr="00645DEF">
        <w:rPr>
          <w:lang w:eastAsia="zh-CN"/>
        </w:rPr>
        <w:t>neighbour</w:t>
      </w:r>
      <w:r w:rsidR="00251547">
        <w:rPr>
          <w:lang w:eastAsia="zh-CN"/>
        </w:rPr>
        <w:t>)</w:t>
      </w:r>
      <w:r w:rsidR="00251547" w:rsidRPr="00645DEF">
        <w:rPr>
          <w:lang w:eastAsia="zh-CN"/>
        </w:rPr>
        <w:t xml:space="preserve"> cell</w:t>
      </w:r>
      <w:r w:rsidR="00251547" w:rsidRPr="00251547">
        <w:rPr>
          <w:lang w:eastAsia="zh-CN"/>
        </w:rPr>
        <w:t xml:space="preserve"> </w:t>
      </w:r>
      <w:r w:rsidR="00F73E49">
        <w:rPr>
          <w:lang w:eastAsia="zh-CN"/>
        </w:rPr>
        <w:t xml:space="preserve">that </w:t>
      </w:r>
      <w:r w:rsidR="001F7298">
        <w:rPr>
          <w:lang w:eastAsia="zh-CN"/>
        </w:rPr>
        <w:t>may complement</w:t>
      </w:r>
      <w:r w:rsidR="00F73E49">
        <w:rPr>
          <w:lang w:eastAsia="zh-CN"/>
        </w:rPr>
        <w:t xml:space="preserve"> </w:t>
      </w:r>
      <w:r w:rsidR="00645DEF" w:rsidRPr="00645DEF">
        <w:rPr>
          <w:lang w:eastAsia="zh-CN"/>
        </w:rPr>
        <w:t>the common configuration</w:t>
      </w:r>
      <w:r w:rsidR="00251547">
        <w:rPr>
          <w:lang w:eastAsia="zh-CN"/>
        </w:rPr>
        <w:t>.</w:t>
      </w:r>
    </w:p>
    <w:p w14:paraId="3F2E27A4" w14:textId="77777777" w:rsidR="00375B72" w:rsidRPr="00645DEF" w:rsidRDefault="00375B72" w:rsidP="00645DEF">
      <w:pPr>
        <w:spacing w:after="120"/>
        <w:rPr>
          <w:lang w:eastAsia="zh-CN"/>
        </w:rPr>
      </w:pPr>
    </w:p>
    <w:p w14:paraId="35908A1C" w14:textId="56C01682" w:rsidR="00645DEF" w:rsidRDefault="00695B42" w:rsidP="00645DEF">
      <w:pPr>
        <w:pStyle w:val="Proposal"/>
      </w:pPr>
      <w:bookmarkStart w:id="23" w:name="_Toc118196492"/>
      <w:bookmarkStart w:id="24" w:name="_Toc118444959"/>
      <w:r>
        <w:t>(C)HO common target cell configuration is broadcast in S</w:t>
      </w:r>
      <w:r w:rsidR="00645DEF" w:rsidRPr="00645DEF">
        <w:t xml:space="preserve">ystem </w:t>
      </w:r>
      <w:r>
        <w:t>I</w:t>
      </w:r>
      <w:r w:rsidR="00645DEF" w:rsidRPr="00645DEF">
        <w:t>nformation</w:t>
      </w:r>
      <w:bookmarkEnd w:id="23"/>
      <w:r>
        <w:t>.</w:t>
      </w:r>
      <w:bookmarkEnd w:id="24"/>
    </w:p>
    <w:p w14:paraId="4E6F2115" w14:textId="77777777" w:rsidR="00375B72" w:rsidRDefault="00375B72" w:rsidP="00375B72">
      <w:pPr>
        <w:pStyle w:val="Proposal"/>
        <w:numPr>
          <w:ilvl w:val="0"/>
          <w:numId w:val="0"/>
        </w:numPr>
        <w:ind w:left="1701" w:hanging="1701"/>
      </w:pPr>
    </w:p>
    <w:p w14:paraId="4FB44C8F" w14:textId="70E04F99" w:rsidR="00B94BD4" w:rsidRPr="00645DEF" w:rsidRDefault="00B94BD4" w:rsidP="00B94BD4">
      <w:pPr>
        <w:pStyle w:val="Heading4"/>
      </w:pPr>
      <w:r>
        <w:t>2.1.2.3</w:t>
      </w:r>
      <w:r>
        <w:tab/>
        <w:t>Delta configuration</w:t>
      </w:r>
    </w:p>
    <w:p w14:paraId="050F3522" w14:textId="0261B7F7" w:rsidR="00645DEF" w:rsidRDefault="00B57542" w:rsidP="00645DEF">
      <w:pPr>
        <w:spacing w:after="120"/>
        <w:rPr>
          <w:lang w:eastAsia="zh-CN"/>
        </w:rPr>
      </w:pPr>
      <w:r>
        <w:rPr>
          <w:lang w:eastAsia="zh-CN"/>
        </w:rPr>
        <w:t>During service link switch in a quasi-Earth fixed cell or a feeder link switch in a</w:t>
      </w:r>
      <w:r w:rsidR="006737FB">
        <w:rPr>
          <w:lang w:eastAsia="zh-CN"/>
        </w:rPr>
        <w:t>n</w:t>
      </w:r>
      <w:r>
        <w:rPr>
          <w:lang w:eastAsia="zh-CN"/>
        </w:rPr>
        <w:t xml:space="preserve"> Earth-moving cell, </w:t>
      </w:r>
      <w:r w:rsidR="00645DEF" w:rsidRPr="00645DEF">
        <w:rPr>
          <w:lang w:eastAsia="zh-CN"/>
        </w:rPr>
        <w:t xml:space="preserve">the target cell </w:t>
      </w:r>
      <w:r w:rsidR="00F426CD">
        <w:rPr>
          <w:lang w:eastAsia="zh-CN"/>
        </w:rPr>
        <w:t xml:space="preserve">just </w:t>
      </w:r>
      <w:r w:rsidR="00645DEF" w:rsidRPr="00645DEF">
        <w:rPr>
          <w:lang w:eastAsia="zh-CN"/>
        </w:rPr>
        <w:t>replace</w:t>
      </w:r>
      <w:r w:rsidR="00F426CD">
        <w:rPr>
          <w:lang w:eastAsia="zh-CN"/>
        </w:rPr>
        <w:t>s</w:t>
      </w:r>
      <w:r w:rsidR="00645DEF" w:rsidRPr="00645DEF">
        <w:rPr>
          <w:lang w:eastAsia="zh-CN"/>
        </w:rPr>
        <w:t xml:space="preserve"> </w:t>
      </w:r>
      <w:r w:rsidR="00F426CD">
        <w:rPr>
          <w:lang w:eastAsia="zh-CN"/>
        </w:rPr>
        <w:t xml:space="preserve">the source cell in </w:t>
      </w:r>
      <w:r w:rsidR="00645DEF" w:rsidRPr="00645DEF">
        <w:rPr>
          <w:lang w:eastAsia="zh-CN"/>
        </w:rPr>
        <w:t xml:space="preserve">the </w:t>
      </w:r>
      <w:r w:rsidR="00F426CD">
        <w:rPr>
          <w:lang w:eastAsia="zh-CN"/>
        </w:rPr>
        <w:t xml:space="preserve">same </w:t>
      </w:r>
      <w:r w:rsidR="00645DEF" w:rsidRPr="00645DEF">
        <w:rPr>
          <w:lang w:eastAsia="zh-CN"/>
        </w:rPr>
        <w:t>geographical area</w:t>
      </w:r>
      <w:r w:rsidR="00F426CD">
        <w:rPr>
          <w:lang w:eastAsia="zh-CN"/>
        </w:rPr>
        <w:t>. Therefore, it might be assumed</w:t>
      </w:r>
      <w:r w:rsidR="00645DEF" w:rsidRPr="00645DEF">
        <w:rPr>
          <w:lang w:eastAsia="zh-CN"/>
        </w:rPr>
        <w:t xml:space="preserve"> </w:t>
      </w:r>
      <w:r w:rsidR="006737FB">
        <w:rPr>
          <w:lang w:eastAsia="zh-CN"/>
        </w:rPr>
        <w:t xml:space="preserve">that, </w:t>
      </w:r>
      <w:r w:rsidR="00645DEF" w:rsidRPr="00645DEF">
        <w:rPr>
          <w:lang w:eastAsia="zh-CN"/>
        </w:rPr>
        <w:t>from a deployment perspective</w:t>
      </w:r>
      <w:r w:rsidR="006737FB">
        <w:rPr>
          <w:lang w:eastAsia="zh-CN"/>
        </w:rPr>
        <w:t>, both might be</w:t>
      </w:r>
      <w:r w:rsidR="00645DEF" w:rsidRPr="00645DEF">
        <w:rPr>
          <w:lang w:eastAsia="zh-CN"/>
        </w:rPr>
        <w:t xml:space="preserve"> configure</w:t>
      </w:r>
      <w:r w:rsidR="006737FB">
        <w:rPr>
          <w:lang w:eastAsia="zh-CN"/>
        </w:rPr>
        <w:t>d</w:t>
      </w:r>
      <w:r w:rsidR="00645DEF" w:rsidRPr="00645DEF">
        <w:rPr>
          <w:lang w:eastAsia="zh-CN"/>
        </w:rPr>
        <w:t xml:space="preserve"> identically.</w:t>
      </w:r>
    </w:p>
    <w:p w14:paraId="4A78E3CD" w14:textId="77777777" w:rsidR="00375B72" w:rsidRPr="00645DEF" w:rsidRDefault="00375B72" w:rsidP="00645DEF">
      <w:pPr>
        <w:spacing w:after="120"/>
        <w:rPr>
          <w:lang w:eastAsia="zh-CN"/>
        </w:rPr>
      </w:pPr>
    </w:p>
    <w:p w14:paraId="33760E7A" w14:textId="722CB7D9" w:rsidR="00645DEF" w:rsidRDefault="00645DEF" w:rsidP="00645DEF">
      <w:pPr>
        <w:pStyle w:val="Observation"/>
      </w:pPr>
      <w:bookmarkStart w:id="25" w:name="_Toc118196490"/>
      <w:bookmarkStart w:id="26" w:name="_Toc118444954"/>
      <w:r w:rsidRPr="00645DEF">
        <w:t>From a deployment perspective</w:t>
      </w:r>
      <w:r w:rsidR="000615CE">
        <w:t>, d</w:t>
      </w:r>
      <w:r w:rsidR="000615CE" w:rsidRPr="006D1857">
        <w:t>uring service link switch in a quasi-Earth fixed cell or a feeder link switch in an Earth-moving cell</w:t>
      </w:r>
      <w:r w:rsidRPr="00645DEF">
        <w:t>, it can be assumed that the source cell and the target cell will be configured almost identically</w:t>
      </w:r>
      <w:bookmarkEnd w:id="25"/>
      <w:r w:rsidR="000615CE">
        <w:t>.</w:t>
      </w:r>
      <w:bookmarkEnd w:id="26"/>
    </w:p>
    <w:p w14:paraId="31ADF091" w14:textId="77777777" w:rsidR="00375B72" w:rsidRPr="00645DEF" w:rsidRDefault="00375B72" w:rsidP="00375B72">
      <w:pPr>
        <w:pStyle w:val="Observation"/>
        <w:numPr>
          <w:ilvl w:val="0"/>
          <w:numId w:val="0"/>
        </w:numPr>
        <w:ind w:left="1701" w:hanging="1701"/>
      </w:pPr>
    </w:p>
    <w:p w14:paraId="53162FD7" w14:textId="31B20C75" w:rsidR="00645DEF" w:rsidRDefault="003F31CB" w:rsidP="00645DEF">
      <w:pPr>
        <w:spacing w:after="120"/>
        <w:rPr>
          <w:lang w:eastAsia="zh-CN"/>
        </w:rPr>
      </w:pPr>
      <w:r>
        <w:rPr>
          <w:lang w:eastAsia="zh-CN"/>
        </w:rPr>
        <w:t>The configuration similarity gives the possibility to further reduce the signalling using only a</w:t>
      </w:r>
      <w:r w:rsidR="00645DEF" w:rsidRPr="00645DEF">
        <w:rPr>
          <w:lang w:eastAsia="zh-CN"/>
        </w:rPr>
        <w:t xml:space="preserve"> delta configuration</w:t>
      </w:r>
      <w:r>
        <w:rPr>
          <w:lang w:eastAsia="zh-CN"/>
        </w:rPr>
        <w:t xml:space="preserve">, i.e., a minimum set of parameters that </w:t>
      </w:r>
      <w:r w:rsidR="00DA49B2">
        <w:rPr>
          <w:lang w:eastAsia="zh-CN"/>
        </w:rPr>
        <w:t>may be different</w:t>
      </w:r>
      <w:r>
        <w:rPr>
          <w:lang w:eastAsia="zh-CN"/>
        </w:rPr>
        <w:t xml:space="preserve"> between </w:t>
      </w:r>
      <w:r w:rsidR="00DA49B2">
        <w:rPr>
          <w:lang w:eastAsia="zh-CN"/>
        </w:rPr>
        <w:t xml:space="preserve">the </w:t>
      </w:r>
      <w:r>
        <w:rPr>
          <w:lang w:eastAsia="zh-CN"/>
        </w:rPr>
        <w:t xml:space="preserve">two </w:t>
      </w:r>
      <w:r w:rsidR="00DA49B2">
        <w:rPr>
          <w:lang w:eastAsia="zh-CN"/>
        </w:rPr>
        <w:t xml:space="preserve">similar </w:t>
      </w:r>
      <w:r>
        <w:rPr>
          <w:lang w:eastAsia="zh-CN"/>
        </w:rPr>
        <w:t>cells.</w:t>
      </w:r>
      <w:r w:rsidR="00645DEF" w:rsidRPr="00645DEF">
        <w:rPr>
          <w:lang w:eastAsia="zh-CN"/>
        </w:rPr>
        <w:t xml:space="preserve"> </w:t>
      </w:r>
      <w:r>
        <w:rPr>
          <w:lang w:eastAsia="zh-CN"/>
        </w:rPr>
        <w:t>As a result, the</w:t>
      </w:r>
      <w:r w:rsidR="00645DEF" w:rsidRPr="00645DEF">
        <w:rPr>
          <w:lang w:eastAsia="zh-CN"/>
        </w:rPr>
        <w:t xml:space="preserve"> size of the </w:t>
      </w:r>
      <w:r>
        <w:rPr>
          <w:lang w:eastAsia="zh-CN"/>
        </w:rPr>
        <w:t>S</w:t>
      </w:r>
      <w:r w:rsidR="00645DEF" w:rsidRPr="00645DEF">
        <w:rPr>
          <w:lang w:eastAsia="zh-CN"/>
        </w:rPr>
        <w:t xml:space="preserve">ystem </w:t>
      </w:r>
      <w:r>
        <w:rPr>
          <w:lang w:eastAsia="zh-CN"/>
        </w:rPr>
        <w:t>I</w:t>
      </w:r>
      <w:r w:rsidR="00645DEF" w:rsidRPr="00645DEF">
        <w:rPr>
          <w:lang w:eastAsia="zh-CN"/>
        </w:rPr>
        <w:t xml:space="preserve">nformation </w:t>
      </w:r>
      <w:r>
        <w:rPr>
          <w:lang w:eastAsia="zh-CN"/>
        </w:rPr>
        <w:t xml:space="preserve">message </w:t>
      </w:r>
      <w:r w:rsidR="00645DEF" w:rsidRPr="00645DEF">
        <w:rPr>
          <w:lang w:eastAsia="zh-CN"/>
        </w:rPr>
        <w:t xml:space="preserve">and </w:t>
      </w:r>
      <w:r w:rsidR="00612185">
        <w:rPr>
          <w:lang w:eastAsia="zh-CN"/>
        </w:rPr>
        <w:t xml:space="preserve">the </w:t>
      </w:r>
      <w:r w:rsidR="00645DEF" w:rsidRPr="00645DEF">
        <w:rPr>
          <w:lang w:eastAsia="zh-CN"/>
        </w:rPr>
        <w:t>SI acquisition time</w:t>
      </w:r>
      <w:r w:rsidR="00612185">
        <w:rPr>
          <w:lang w:eastAsia="zh-CN"/>
        </w:rPr>
        <w:t xml:space="preserve"> are shorter</w:t>
      </w:r>
      <w:r w:rsidR="00123F36">
        <w:rPr>
          <w:lang w:eastAsia="zh-CN"/>
        </w:rPr>
        <w:t>,</w:t>
      </w:r>
      <w:r w:rsidR="00612185">
        <w:rPr>
          <w:lang w:eastAsia="zh-CN"/>
        </w:rPr>
        <w:t xml:space="preserve"> which gives better efficiency</w:t>
      </w:r>
      <w:r w:rsidR="00645DEF" w:rsidRPr="00645DEF">
        <w:rPr>
          <w:lang w:eastAsia="zh-CN"/>
        </w:rPr>
        <w:t>.</w:t>
      </w:r>
    </w:p>
    <w:p w14:paraId="05696AD8" w14:textId="77777777" w:rsidR="00375B72" w:rsidRPr="00645DEF" w:rsidRDefault="00375B72" w:rsidP="00645DEF">
      <w:pPr>
        <w:spacing w:after="120"/>
        <w:rPr>
          <w:lang w:eastAsia="zh-CN"/>
        </w:rPr>
      </w:pPr>
    </w:p>
    <w:p w14:paraId="15363CED" w14:textId="1B448719" w:rsidR="00645DEF" w:rsidRDefault="009B5EFB" w:rsidP="00645DEF">
      <w:pPr>
        <w:pStyle w:val="Proposal"/>
      </w:pPr>
      <w:bookmarkStart w:id="27" w:name="_Toc118196493"/>
      <w:bookmarkStart w:id="28" w:name="_Toc118444960"/>
      <w:r>
        <w:t xml:space="preserve">Delta configuration </w:t>
      </w:r>
      <w:r w:rsidR="00FC0515">
        <w:t xml:space="preserve">between leaving and incoming cells </w:t>
      </w:r>
      <w:r>
        <w:t>is used to broadcast (C)HO c</w:t>
      </w:r>
      <w:r w:rsidR="00645DEF" w:rsidRPr="00645DEF">
        <w:t xml:space="preserve">ommon target cell </w:t>
      </w:r>
      <w:r>
        <w:t>information in System Information</w:t>
      </w:r>
      <w:bookmarkEnd w:id="27"/>
      <w:r>
        <w:t>.</w:t>
      </w:r>
      <w:bookmarkEnd w:id="28"/>
    </w:p>
    <w:p w14:paraId="6D71B4E6" w14:textId="77777777" w:rsidR="00375B72" w:rsidRDefault="00375B72" w:rsidP="00375B72">
      <w:pPr>
        <w:pStyle w:val="Proposal"/>
        <w:numPr>
          <w:ilvl w:val="0"/>
          <w:numId w:val="0"/>
        </w:numPr>
        <w:ind w:left="1701" w:hanging="1701"/>
      </w:pPr>
    </w:p>
    <w:p w14:paraId="36A3132E" w14:textId="442A6252" w:rsidR="008C476A" w:rsidRDefault="008C476A" w:rsidP="008C476A">
      <w:pPr>
        <w:pStyle w:val="Heading4"/>
      </w:pPr>
      <w:r>
        <w:t>2.1.2.4</w:t>
      </w:r>
      <w:r>
        <w:tab/>
        <w:t>Reduced size of HO command</w:t>
      </w:r>
    </w:p>
    <w:p w14:paraId="193095E6" w14:textId="1C9009EC" w:rsidR="00645DEF" w:rsidRDefault="00C81346" w:rsidP="00645DEF">
      <w:pPr>
        <w:spacing w:after="120"/>
        <w:rPr>
          <w:lang w:eastAsia="zh-CN"/>
        </w:rPr>
      </w:pPr>
      <w:r>
        <w:rPr>
          <w:lang w:eastAsia="zh-CN"/>
        </w:rPr>
        <w:t xml:space="preserve">Sending </w:t>
      </w:r>
      <w:r w:rsidR="00645DEF" w:rsidRPr="00645DEF">
        <w:rPr>
          <w:lang w:eastAsia="zh-CN"/>
        </w:rPr>
        <w:t xml:space="preserve">common target cell configuration </w:t>
      </w:r>
      <w:r>
        <w:rPr>
          <w:lang w:eastAsia="zh-CN"/>
        </w:rPr>
        <w:t xml:space="preserve">in </w:t>
      </w:r>
      <w:r w:rsidR="007B4187">
        <w:rPr>
          <w:lang w:eastAsia="zh-CN"/>
        </w:rPr>
        <w:t>S</w:t>
      </w:r>
      <w:r w:rsidR="00645DEF" w:rsidRPr="00645DEF">
        <w:rPr>
          <w:lang w:eastAsia="zh-CN"/>
        </w:rPr>
        <w:t xml:space="preserve">ystem </w:t>
      </w:r>
      <w:r w:rsidR="007B4187">
        <w:rPr>
          <w:lang w:eastAsia="zh-CN"/>
        </w:rPr>
        <w:t>I</w:t>
      </w:r>
      <w:r w:rsidR="00645DEF" w:rsidRPr="00645DEF">
        <w:rPr>
          <w:lang w:eastAsia="zh-CN"/>
        </w:rPr>
        <w:t>nformation</w:t>
      </w:r>
      <w:r>
        <w:rPr>
          <w:lang w:eastAsia="zh-CN"/>
        </w:rPr>
        <w:t xml:space="preserve"> leads to a reduction </w:t>
      </w:r>
      <w:r w:rsidR="00D84AA7">
        <w:rPr>
          <w:lang w:eastAsia="zh-CN"/>
        </w:rPr>
        <w:t xml:space="preserve">of the (C)HO command size which </w:t>
      </w:r>
      <w:r w:rsidR="001E1CC7">
        <w:rPr>
          <w:lang w:eastAsia="zh-CN"/>
        </w:rPr>
        <w:t xml:space="preserve">needs only to </w:t>
      </w:r>
      <w:r w:rsidR="00645DEF" w:rsidRPr="00645DEF">
        <w:rPr>
          <w:lang w:eastAsia="zh-CN"/>
        </w:rPr>
        <w:t>carry UE</w:t>
      </w:r>
      <w:r w:rsidR="001E1CC7">
        <w:rPr>
          <w:lang w:eastAsia="zh-CN"/>
        </w:rPr>
        <w:t xml:space="preserve">-specific </w:t>
      </w:r>
      <w:r w:rsidR="00645DEF" w:rsidRPr="00645DEF">
        <w:rPr>
          <w:lang w:eastAsia="zh-CN"/>
        </w:rPr>
        <w:t>configuration</w:t>
      </w:r>
      <w:r w:rsidR="00D84AA7">
        <w:rPr>
          <w:lang w:eastAsia="zh-CN"/>
        </w:rPr>
        <w:t xml:space="preserve">. </w:t>
      </w:r>
      <w:r w:rsidR="00645DEF" w:rsidRPr="00645DEF">
        <w:rPr>
          <w:lang w:eastAsia="zh-CN"/>
        </w:rPr>
        <w:t xml:space="preserve">However, the legacy ASN.1 structure of the (C)HO command </w:t>
      </w:r>
      <w:r w:rsidR="00376F51" w:rsidRPr="00645DEF">
        <w:rPr>
          <w:lang w:eastAsia="zh-CN"/>
        </w:rPr>
        <w:t>(</w:t>
      </w:r>
      <w:r w:rsidR="00376F51" w:rsidRPr="00645DEF">
        <w:rPr>
          <w:i/>
          <w:iCs/>
          <w:lang w:eastAsia="zh-CN"/>
        </w:rPr>
        <w:t>reconfigurationWithSync</w:t>
      </w:r>
      <w:r w:rsidR="00376F51" w:rsidRPr="00645DEF">
        <w:rPr>
          <w:lang w:eastAsia="zh-CN"/>
        </w:rPr>
        <w:t>)</w:t>
      </w:r>
      <w:r w:rsidR="00376F51">
        <w:rPr>
          <w:lang w:eastAsia="zh-CN"/>
        </w:rPr>
        <w:t xml:space="preserve"> </w:t>
      </w:r>
      <w:r w:rsidR="00645DEF" w:rsidRPr="00645DEF">
        <w:rPr>
          <w:lang w:eastAsia="zh-CN"/>
        </w:rPr>
        <w:t>implies that the size of the RRC message will anyway be significant with only the UE unique configuration provided in the message.</w:t>
      </w:r>
      <w:r w:rsidR="00D84AA7">
        <w:rPr>
          <w:lang w:eastAsia="zh-CN"/>
        </w:rPr>
        <w:t xml:space="preserve"> </w:t>
      </w:r>
      <w:r w:rsidR="00645DEF" w:rsidRPr="00645DEF">
        <w:rPr>
          <w:lang w:eastAsia="zh-CN"/>
        </w:rPr>
        <w:t xml:space="preserve">Therefore, as a mean to further </w:t>
      </w:r>
      <w:r w:rsidR="00595254">
        <w:rPr>
          <w:lang w:eastAsia="zh-CN"/>
        </w:rPr>
        <w:t>decrease</w:t>
      </w:r>
      <w:r w:rsidR="00645DEF" w:rsidRPr="00645DEF">
        <w:rPr>
          <w:lang w:eastAsia="zh-CN"/>
        </w:rPr>
        <w:t xml:space="preserve"> the size of the (C)HO command</w:t>
      </w:r>
      <w:r w:rsidR="00595254">
        <w:rPr>
          <w:lang w:eastAsia="zh-CN"/>
        </w:rPr>
        <w:t xml:space="preserve"> and </w:t>
      </w:r>
      <w:r w:rsidR="00595254" w:rsidRPr="00595254">
        <w:rPr>
          <w:lang w:eastAsia="zh-CN"/>
        </w:rPr>
        <w:t>thereby</w:t>
      </w:r>
      <w:r w:rsidR="00595254">
        <w:rPr>
          <w:lang w:eastAsia="zh-CN"/>
        </w:rPr>
        <w:t xml:space="preserve"> reduce the signalling load</w:t>
      </w:r>
      <w:r w:rsidR="00645DEF" w:rsidRPr="00645DEF">
        <w:rPr>
          <w:lang w:eastAsia="zh-CN"/>
        </w:rPr>
        <w:t xml:space="preserve">, the RRC message can potentially be optimized for the concerned NTN scenarios to only carry the minimum information, </w:t>
      </w:r>
      <w:r w:rsidR="00E61788" w:rsidRPr="00645DEF">
        <w:rPr>
          <w:lang w:eastAsia="zh-CN"/>
        </w:rPr>
        <w:t>i.e.,</w:t>
      </w:r>
      <w:r w:rsidR="00645DEF" w:rsidRPr="00645DEF">
        <w:rPr>
          <w:lang w:eastAsia="zh-CN"/>
        </w:rPr>
        <w:t xml:space="preserve"> to only include the UE unique configuration such as C-RNTI and new security keys.</w:t>
      </w:r>
    </w:p>
    <w:p w14:paraId="2EBEA6F4" w14:textId="77777777" w:rsidR="00375B72" w:rsidRPr="00645DEF" w:rsidRDefault="00375B72" w:rsidP="00645DEF">
      <w:pPr>
        <w:spacing w:after="120"/>
        <w:rPr>
          <w:lang w:eastAsia="zh-CN"/>
        </w:rPr>
      </w:pPr>
    </w:p>
    <w:p w14:paraId="0527AAA3" w14:textId="5BD3EAED" w:rsidR="00645DEF" w:rsidRPr="00645DEF" w:rsidRDefault="00915324" w:rsidP="00645DEF">
      <w:pPr>
        <w:pStyle w:val="Proposal"/>
      </w:pPr>
      <w:bookmarkStart w:id="29" w:name="_Toc118196494"/>
      <w:bookmarkStart w:id="30" w:name="_Toc118444961"/>
      <w:r>
        <w:t>O</w:t>
      </w:r>
      <w:r w:rsidR="00645DEF" w:rsidRPr="00645DEF">
        <w:t>ptimizing the (C)HO command for the concerned NTN scenarios so that only the UE unique configuration is carried in the RRC message</w:t>
      </w:r>
      <w:bookmarkEnd w:id="29"/>
      <w:r w:rsidR="00466C27">
        <w:t>.</w:t>
      </w:r>
      <w:bookmarkEnd w:id="30"/>
    </w:p>
    <w:p w14:paraId="2369A4BA" w14:textId="26E13CB4" w:rsidR="00645DEF" w:rsidRDefault="00645DEF">
      <w:pPr>
        <w:overflowPunct/>
        <w:autoSpaceDE/>
        <w:autoSpaceDN/>
        <w:adjustRightInd/>
        <w:spacing w:after="0"/>
        <w:textAlignment w:val="auto"/>
      </w:pPr>
    </w:p>
    <w:p w14:paraId="18C2D4C0" w14:textId="00D8DA85" w:rsidR="00C1619F" w:rsidRDefault="00C1619F" w:rsidP="00C1619F">
      <w:pPr>
        <w:pStyle w:val="Heading2"/>
      </w:pPr>
      <w:r>
        <w:t>2.2</w:t>
      </w:r>
      <w:r>
        <w:tab/>
        <w:t>Reusing PCI after service link switch</w:t>
      </w:r>
    </w:p>
    <w:p w14:paraId="3AC9D66C" w14:textId="0CD1A569" w:rsidR="00C1619F" w:rsidRDefault="000B7978" w:rsidP="00C1619F">
      <w:r>
        <w:t>In</w:t>
      </w:r>
      <w:r w:rsidR="00F4613C">
        <w:t xml:space="preserve"> RAN2#119bis-e, </w:t>
      </w:r>
      <w:r w:rsidRPr="000E3B03">
        <w:t>[</w:t>
      </w:r>
      <w:r w:rsidR="00024DC7">
        <w:t>4</w:t>
      </w:r>
      <w:r w:rsidRPr="000E3B03">
        <w:t>]</w:t>
      </w:r>
      <w:r w:rsidR="00F4613C">
        <w:t xml:space="preserve"> proposed </w:t>
      </w:r>
      <w:r>
        <w:t>another mobility enhancement for a particular scenario: service link switch in a</w:t>
      </w:r>
      <w:r w:rsidR="000E3B03" w:rsidRPr="000E3B03">
        <w:t xml:space="preserve"> quasi-Earth fixed </w:t>
      </w:r>
      <w:r w:rsidR="004B12BD">
        <w:t>cell</w:t>
      </w:r>
      <w:r w:rsidR="00D6265A">
        <w:t xml:space="preserve"> whenever</w:t>
      </w:r>
      <w:r>
        <w:t xml:space="preserve"> both satellites</w:t>
      </w:r>
      <w:r w:rsidR="00D6265A">
        <w:t xml:space="preserve"> (leaving and incoming)</w:t>
      </w:r>
      <w:r>
        <w:t xml:space="preserve"> are connected to the</w:t>
      </w:r>
      <w:r w:rsidR="000E3B03" w:rsidRPr="000E3B03">
        <w:t xml:space="preserve"> same gNB </w:t>
      </w:r>
      <w:r>
        <w:t xml:space="preserve">(see </w:t>
      </w:r>
      <w:r>
        <w:fldChar w:fldCharType="begin"/>
      </w:r>
      <w:r>
        <w:instrText xml:space="preserve"> REF _Ref118368075 \h </w:instrText>
      </w:r>
      <w:r>
        <w:fldChar w:fldCharType="separate"/>
      </w:r>
      <w:r>
        <w:t xml:space="preserve">Figure </w:t>
      </w:r>
      <w:r>
        <w:rPr>
          <w:noProof/>
        </w:rPr>
        <w:t>1</w:t>
      </w:r>
      <w:r>
        <w:fldChar w:fldCharType="end"/>
      </w:r>
      <w:r>
        <w:t>)</w:t>
      </w:r>
      <w:r w:rsidR="00D6265A">
        <w:t xml:space="preserve">. </w:t>
      </w:r>
      <w:r w:rsidR="005E7DC7">
        <w:t>The</w:t>
      </w:r>
      <w:r w:rsidR="000E3B03" w:rsidRPr="000E3B03">
        <w:t xml:space="preserve"> gain is that </w:t>
      </w:r>
      <w:r w:rsidR="005E7DC7">
        <w:t>a</w:t>
      </w:r>
      <w:r w:rsidR="000E3B03" w:rsidRPr="000E3B03">
        <w:t xml:space="preserve"> UE </w:t>
      </w:r>
      <w:r w:rsidR="00310BCD">
        <w:t>does no</w:t>
      </w:r>
      <w:r w:rsidR="000E3B03" w:rsidRPr="000E3B03">
        <w:t xml:space="preserve">t have to </w:t>
      </w:r>
      <w:r w:rsidR="005E7DC7">
        <w:t xml:space="preserve">perform </w:t>
      </w:r>
      <w:r w:rsidR="000E3B03" w:rsidRPr="000E3B03">
        <w:t xml:space="preserve">handover and can continue using </w:t>
      </w:r>
      <w:r w:rsidR="00AF36F9">
        <w:t xml:space="preserve">almost </w:t>
      </w:r>
      <w:r w:rsidR="000E3B03" w:rsidRPr="000E3B03">
        <w:t xml:space="preserve">the same configuration. However, </w:t>
      </w:r>
      <w:r w:rsidR="00991790">
        <w:t xml:space="preserve">as noted by the authors, </w:t>
      </w:r>
      <w:r w:rsidR="000E3B03" w:rsidRPr="000E3B03">
        <w:t>UE</w:t>
      </w:r>
      <w:r w:rsidR="002671DF">
        <w:t>s</w:t>
      </w:r>
      <w:r w:rsidR="000E3B03" w:rsidRPr="000E3B03">
        <w:t xml:space="preserve"> </w:t>
      </w:r>
      <w:r w:rsidR="007166A4" w:rsidRPr="000E3B03">
        <w:t>must</w:t>
      </w:r>
      <w:r w:rsidR="000E3B03" w:rsidRPr="000E3B03">
        <w:t xml:space="preserve"> perform </w:t>
      </w:r>
      <w:r w:rsidR="00123B85">
        <w:t xml:space="preserve">anyways </w:t>
      </w:r>
      <w:r w:rsidR="000E3B03" w:rsidRPr="000E3B03">
        <w:t>UL synchronization due to changed position of the satellites</w:t>
      </w:r>
      <w:r w:rsidR="00AE3A5A">
        <w:t xml:space="preserve">. </w:t>
      </w:r>
      <w:r w:rsidR="00D6782B">
        <w:t>Besides</w:t>
      </w:r>
      <w:r w:rsidR="00AE3A5A">
        <w:t xml:space="preserve">, </w:t>
      </w:r>
      <w:r w:rsidR="00865B4E">
        <w:t xml:space="preserve">this </w:t>
      </w:r>
      <w:r w:rsidR="00AE3A5A">
        <w:t xml:space="preserve">enhancement </w:t>
      </w:r>
      <w:r w:rsidR="00865B4E">
        <w:t>is only valid for a very specific scenario.</w:t>
      </w:r>
    </w:p>
    <w:p w14:paraId="041090CF" w14:textId="77777777" w:rsidR="00865B4E" w:rsidRDefault="00865B4E" w:rsidP="00C1619F"/>
    <w:p w14:paraId="50A43DCC" w14:textId="2BB3866D" w:rsidR="00865B4E" w:rsidRDefault="00865B4E" w:rsidP="00BF5208">
      <w:pPr>
        <w:pStyle w:val="Observation"/>
      </w:pPr>
      <w:bookmarkStart w:id="31" w:name="_Toc118444955"/>
      <w:r>
        <w:t>Reusing PCI after service link switch</w:t>
      </w:r>
      <w:r w:rsidR="00BF5208">
        <w:t xml:space="preserve"> is only valid in limited scenarios.</w:t>
      </w:r>
      <w:bookmarkEnd w:id="31"/>
    </w:p>
    <w:p w14:paraId="2FED6B46" w14:textId="77777777" w:rsidR="00307902" w:rsidRDefault="00307902" w:rsidP="00C1619F"/>
    <w:p w14:paraId="4BCE0DC0" w14:textId="15FB7F55" w:rsidR="00A26070" w:rsidRDefault="00A97579" w:rsidP="00307902">
      <w:pPr>
        <w:jc w:val="center"/>
      </w:pPr>
      <w:r>
        <w:rPr>
          <w:noProof/>
          <w:lang w:val="en-US" w:eastAsia="zh-CN"/>
        </w:rPr>
        <w:drawing>
          <wp:inline distT="0" distB="0" distL="0" distR="0" wp14:anchorId="2AB3A612" wp14:editId="48F6C59F">
            <wp:extent cx="4325620" cy="2631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348424" cy="2645287"/>
                    </a:xfrm>
                    <a:prstGeom prst="rect">
                      <a:avLst/>
                    </a:prstGeom>
                    <a:noFill/>
                  </pic:spPr>
                </pic:pic>
              </a:graphicData>
            </a:graphic>
          </wp:inline>
        </w:drawing>
      </w:r>
    </w:p>
    <w:p w14:paraId="52AB2A4A" w14:textId="26C3A8C0" w:rsidR="00307902" w:rsidRDefault="00307902" w:rsidP="00307902">
      <w:pPr>
        <w:pStyle w:val="Caption"/>
        <w:jc w:val="center"/>
      </w:pPr>
      <w:bookmarkStart w:id="32" w:name="_Ref118368075"/>
      <w:r>
        <w:t xml:space="preserve">Figure </w:t>
      </w:r>
      <w:r w:rsidR="006025B7">
        <w:fldChar w:fldCharType="begin"/>
      </w:r>
      <w:r w:rsidR="006025B7">
        <w:instrText xml:space="preserve"> SEQ Figure \* ARABIC </w:instrText>
      </w:r>
      <w:r w:rsidR="006025B7">
        <w:fldChar w:fldCharType="separate"/>
      </w:r>
      <w:r>
        <w:rPr>
          <w:noProof/>
        </w:rPr>
        <w:t>1</w:t>
      </w:r>
      <w:r w:rsidR="006025B7">
        <w:rPr>
          <w:noProof/>
        </w:rPr>
        <w:fldChar w:fldCharType="end"/>
      </w:r>
      <w:bookmarkEnd w:id="32"/>
      <w:r>
        <w:t xml:space="preserve">. </w:t>
      </w:r>
      <w:r w:rsidRPr="00821D2E">
        <w:t>Service link switch in quasi-Earth fixed cells</w:t>
      </w:r>
      <w:r>
        <w:t xml:space="preserve"> [</w:t>
      </w:r>
      <w:r w:rsidR="00851753">
        <w:t>5</w:t>
      </w:r>
      <w:r>
        <w:t>]</w:t>
      </w:r>
      <w:r w:rsidR="003045A1">
        <w:t>.</w:t>
      </w:r>
    </w:p>
    <w:p w14:paraId="49A9C1F8" w14:textId="616EAD46" w:rsidR="00307902" w:rsidRDefault="00307902" w:rsidP="00307902"/>
    <w:p w14:paraId="23214BCD" w14:textId="491A56D3" w:rsidR="002354CD" w:rsidRDefault="00C145D3" w:rsidP="00D538C8">
      <w:r>
        <w:t>This topic continued in an offline discussion [</w:t>
      </w:r>
      <w:r w:rsidR="00851753">
        <w:t>6</w:t>
      </w:r>
      <w:r>
        <w:t>]</w:t>
      </w:r>
      <w:r w:rsidR="00E960D0">
        <w:t xml:space="preserve"> where </w:t>
      </w:r>
      <w:r w:rsidR="00E82F4C">
        <w:t xml:space="preserve">more than </w:t>
      </w:r>
      <w:r w:rsidR="00192FE7">
        <w:t xml:space="preserve">a </w:t>
      </w:r>
      <w:r w:rsidR="00E82F4C">
        <w:t xml:space="preserve">half of the </w:t>
      </w:r>
      <w:r w:rsidR="00192FE7">
        <w:t>companies</w:t>
      </w:r>
      <w:r w:rsidR="00E82F4C">
        <w:t xml:space="preserve"> </w:t>
      </w:r>
      <w:r w:rsidR="00192FE7">
        <w:t>showed sympathy for the solution</w:t>
      </w:r>
      <w:r>
        <w:t xml:space="preserve">. </w:t>
      </w:r>
      <w:r w:rsidR="00192FE7">
        <w:t>As a result, t</w:t>
      </w:r>
      <w:r w:rsidR="002354CD">
        <w:t>he following was agreed:</w:t>
      </w:r>
    </w:p>
    <w:p w14:paraId="5A79D538" w14:textId="3C40F5C5" w:rsidR="00D538C8" w:rsidRDefault="00D538C8" w:rsidP="002354CD">
      <w:pPr>
        <w:pStyle w:val="ListParagraph"/>
        <w:numPr>
          <w:ilvl w:val="0"/>
          <w:numId w:val="35"/>
        </w:numPr>
      </w:pPr>
      <w:r>
        <w:t xml:space="preserve">RAN2 continues the discussion (e.g. at RAN2#120) on the solution with keeping the same PCI after switching of the satellites. Clarify at least the following: </w:t>
      </w:r>
    </w:p>
    <w:p w14:paraId="0EF59E83" w14:textId="3C066097" w:rsidR="00D538C8" w:rsidRDefault="00D538C8" w:rsidP="002354CD">
      <w:pPr>
        <w:pStyle w:val="ListParagraph"/>
        <w:numPr>
          <w:ilvl w:val="1"/>
          <w:numId w:val="35"/>
        </w:numPr>
      </w:pPr>
      <w:r>
        <w:t>RAN1 impact</w:t>
      </w:r>
    </w:p>
    <w:p w14:paraId="7FCEC0E8" w14:textId="50A52295" w:rsidR="00D538C8" w:rsidRDefault="00D538C8" w:rsidP="002354CD">
      <w:pPr>
        <w:pStyle w:val="ListParagraph"/>
        <w:numPr>
          <w:ilvl w:val="1"/>
          <w:numId w:val="35"/>
        </w:numPr>
      </w:pPr>
      <w:r>
        <w:t xml:space="preserve">The need to perform UL beam switching and/or RA </w:t>
      </w:r>
    </w:p>
    <w:p w14:paraId="0C5C94B9" w14:textId="3CA71590" w:rsidR="00D538C8" w:rsidRDefault="00D538C8" w:rsidP="002354CD">
      <w:pPr>
        <w:pStyle w:val="ListParagraph"/>
        <w:numPr>
          <w:ilvl w:val="1"/>
          <w:numId w:val="35"/>
        </w:numPr>
      </w:pPr>
      <w:r>
        <w:t>Applicability to hard or soft satellite switching</w:t>
      </w:r>
    </w:p>
    <w:p w14:paraId="1CBD8317" w14:textId="77777777" w:rsidR="002354CD" w:rsidRDefault="002354CD" w:rsidP="002354CD"/>
    <w:p w14:paraId="67B5B4E5" w14:textId="3B2D856C" w:rsidR="00DF0AB5" w:rsidRDefault="00586937" w:rsidP="002354CD">
      <w:r>
        <w:t xml:space="preserve">Reusing the same PCI during service link switch </w:t>
      </w:r>
      <w:r w:rsidR="00572576">
        <w:t xml:space="preserve">is not a new </w:t>
      </w:r>
      <w:r w:rsidR="00DF0AB5">
        <w:t xml:space="preserve">question </w:t>
      </w:r>
      <w:r w:rsidR="00B3673C">
        <w:t xml:space="preserve">since it </w:t>
      </w:r>
      <w:r w:rsidR="00F40286">
        <w:t>was briefly</w:t>
      </w:r>
      <w:r w:rsidR="00DF0AB5">
        <w:t xml:space="preserve"> touched upon in early Rel-17 development. </w:t>
      </w:r>
      <w:r w:rsidR="00FE653A">
        <w:t>In RAN2#112-e</w:t>
      </w:r>
      <w:r w:rsidR="00C917B9">
        <w:t xml:space="preserve">, </w:t>
      </w:r>
      <w:r w:rsidR="00FE653A">
        <w:t xml:space="preserve">this was discussed during </w:t>
      </w:r>
      <w:r w:rsidR="00DF0AB5">
        <w:t>the offline [</w:t>
      </w:r>
      <w:r w:rsidR="00851753">
        <w:t>5</w:t>
      </w:r>
      <w:r w:rsidR="00DF0AB5">
        <w:t>]</w:t>
      </w:r>
      <w:r w:rsidR="00FE653A">
        <w:t xml:space="preserve"> leading to this agreement:</w:t>
      </w:r>
    </w:p>
    <w:p w14:paraId="1BF7D4BA" w14:textId="49864070" w:rsidR="002270B8" w:rsidRDefault="002270B8" w:rsidP="00556C9A">
      <w:pPr>
        <w:pStyle w:val="ListParagraph"/>
        <w:numPr>
          <w:ilvl w:val="0"/>
          <w:numId w:val="35"/>
        </w:numPr>
      </w:pPr>
      <w:r w:rsidRPr="002270B8">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p w14:paraId="4BF9A17A" w14:textId="77777777" w:rsidR="00556C9A" w:rsidRDefault="00556C9A" w:rsidP="00556C9A"/>
    <w:p w14:paraId="5012BD6F" w14:textId="034DDA35" w:rsidR="00A55DA2" w:rsidRDefault="00A55DA2" w:rsidP="00A55DA2">
      <w:pPr>
        <w:pStyle w:val="Observation"/>
      </w:pPr>
      <w:bookmarkStart w:id="33" w:name="_Toc118444956"/>
      <w:r>
        <w:t>The current assumption that service link switch implies L3 mobility</w:t>
      </w:r>
      <w:r w:rsidR="007F424C">
        <w:t xml:space="preserve"> was taken at RAN2#112-e</w:t>
      </w:r>
      <w:r>
        <w:t>.</w:t>
      </w:r>
      <w:bookmarkEnd w:id="33"/>
    </w:p>
    <w:p w14:paraId="7059C64D" w14:textId="77777777" w:rsidR="00A55DA2" w:rsidRDefault="00A55DA2" w:rsidP="00556C9A"/>
    <w:p w14:paraId="739BDB13" w14:textId="5884783D" w:rsidR="002270B8" w:rsidRDefault="00A044DB" w:rsidP="009C54AB">
      <w:r>
        <w:t>After the initial agreement, t</w:t>
      </w:r>
      <w:r w:rsidR="00336559">
        <w:t>he discussion continued online</w:t>
      </w:r>
      <w:r w:rsidR="001C3A4C">
        <w:t xml:space="preserve"> and</w:t>
      </w:r>
      <w:r w:rsidR="00852C9A">
        <w:t xml:space="preserve"> </w:t>
      </w:r>
      <w:r w:rsidR="006B4047">
        <w:t xml:space="preserve">met strong opposition. The main argument was that this optimization is indeed </w:t>
      </w:r>
      <w:r w:rsidR="00B3673C">
        <w:t>with</w:t>
      </w:r>
      <w:r w:rsidR="006B4047">
        <w:t>in RAN1’s scope</w:t>
      </w:r>
      <w:r w:rsidR="001C3A4C">
        <w:t>. T</w:t>
      </w:r>
      <w:r w:rsidR="002270B8">
        <w:t>he following was captured in the chair notes</w:t>
      </w:r>
      <w:r w:rsidR="00EA5DDE">
        <w:t xml:space="preserve"> [</w:t>
      </w:r>
      <w:r w:rsidR="00B97356">
        <w:t>7</w:t>
      </w:r>
      <w:r w:rsidR="00EA5DDE">
        <w:t>]</w:t>
      </w:r>
      <w:r w:rsidR="002270B8">
        <w:t>:</w:t>
      </w:r>
    </w:p>
    <w:p w14:paraId="7DE04BAC" w14:textId="259A43FE" w:rsidR="004A21C3" w:rsidRDefault="009C54AB" w:rsidP="002270B8">
      <w:pPr>
        <w:pStyle w:val="ListParagraph"/>
        <w:numPr>
          <w:ilvl w:val="0"/>
          <w:numId w:val="35"/>
        </w:numPr>
      </w:pPr>
      <w:r>
        <w:t>N</w:t>
      </w:r>
      <w:r w:rsidR="004A21C3" w:rsidRPr="004A21C3">
        <w:t>o LS to RAN1 on this is sent from this meeting.  We can come back to this in the future if needed.</w:t>
      </w:r>
    </w:p>
    <w:p w14:paraId="39F9050E" w14:textId="77777777" w:rsidR="002270B8" w:rsidRDefault="002270B8" w:rsidP="002270B8"/>
    <w:p w14:paraId="1804859D" w14:textId="45D9DDF0" w:rsidR="00C1619F" w:rsidRDefault="0006625D" w:rsidP="00C1619F">
      <w:r>
        <w:t xml:space="preserve">On the technical side, </w:t>
      </w:r>
      <w:r w:rsidR="006D5745">
        <w:t xml:space="preserve">the solution might be suitable for the service link hard switch scenario, although </w:t>
      </w:r>
      <w:r w:rsidR="00C8128A">
        <w:t>soft switch has been the focus in</w:t>
      </w:r>
      <w:r w:rsidR="006D5745">
        <w:t xml:space="preserve"> </w:t>
      </w:r>
      <w:r w:rsidR="00C8128A">
        <w:t xml:space="preserve">Rel-17 </w:t>
      </w:r>
      <w:r w:rsidR="006D5745">
        <w:t xml:space="preserve">mobility enhancements. </w:t>
      </w:r>
      <w:r w:rsidR="00244FD4">
        <w:t>Regard</w:t>
      </w:r>
      <w:r w:rsidR="008D7F8E">
        <w:t>ing</w:t>
      </w:r>
      <w:r w:rsidR="00244FD4">
        <w:t xml:space="preserve"> </w:t>
      </w:r>
      <w:r w:rsidR="00146380">
        <w:t xml:space="preserve">service link </w:t>
      </w:r>
      <w:r w:rsidR="00244FD4">
        <w:t xml:space="preserve">soft </w:t>
      </w:r>
      <w:r w:rsidR="00146380">
        <w:t>switch, if both cells have t</w:t>
      </w:r>
      <w:r w:rsidR="000218FF">
        <w:t xml:space="preserve">he same </w:t>
      </w:r>
      <w:r w:rsidR="009C062B">
        <w:t xml:space="preserve">PCI </w:t>
      </w:r>
      <w:r w:rsidR="00A43095">
        <w:t xml:space="preserve">and identical </w:t>
      </w:r>
      <w:r w:rsidR="00146380">
        <w:t>SSBs sync raster point</w:t>
      </w:r>
      <w:r w:rsidR="00187D94">
        <w:t xml:space="preserve">, there may be </w:t>
      </w:r>
      <w:r w:rsidR="009A6958">
        <w:t xml:space="preserve">SSB </w:t>
      </w:r>
      <w:r w:rsidR="00204F3E">
        <w:t>timing confusion and</w:t>
      </w:r>
      <w:r w:rsidR="0074762F">
        <w:t xml:space="preserve"> </w:t>
      </w:r>
      <w:r w:rsidR="00F73813">
        <w:t xml:space="preserve">increased </w:t>
      </w:r>
      <w:r w:rsidR="00F73813" w:rsidRPr="0033601B">
        <w:t xml:space="preserve">UE complexity on </w:t>
      </w:r>
      <w:r w:rsidR="00204F3E">
        <w:t xml:space="preserve">SSB </w:t>
      </w:r>
      <w:r w:rsidR="00892371">
        <w:t>detection</w:t>
      </w:r>
      <w:r w:rsidR="00204F3E">
        <w:t xml:space="preserve"> and d</w:t>
      </w:r>
      <w:r w:rsidR="00F73813" w:rsidRPr="0033601B">
        <w:t>ecoding</w:t>
      </w:r>
      <w:r w:rsidR="00204F3E">
        <w:t xml:space="preserve">. </w:t>
      </w:r>
      <w:r w:rsidR="00187D94">
        <w:t xml:space="preserve">This solution </w:t>
      </w:r>
      <w:r w:rsidR="005C2FE2">
        <w:t>would</w:t>
      </w:r>
      <w:r w:rsidR="00821D94">
        <w:t xml:space="preserve"> increase the complexity on the network side because it</w:t>
      </w:r>
      <w:r w:rsidR="005C2FE2">
        <w:t xml:space="preserve"> require</w:t>
      </w:r>
      <w:r w:rsidR="00821D94">
        <w:t>s</w:t>
      </w:r>
      <w:r w:rsidR="00187D94">
        <w:t xml:space="preserve"> t</w:t>
      </w:r>
      <w:r w:rsidR="000218FF" w:rsidRPr="000218FF">
        <w:t xml:space="preserve">he gNB </w:t>
      </w:r>
      <w:r w:rsidR="00187D94">
        <w:t>to</w:t>
      </w:r>
      <w:r w:rsidR="000218FF" w:rsidRPr="000218FF">
        <w:t xml:space="preserve"> either </w:t>
      </w:r>
      <w:r w:rsidR="005C2FE2" w:rsidRPr="000218FF">
        <w:t>repea</w:t>
      </w:r>
      <w:r w:rsidR="005C2FE2">
        <w:t>t</w:t>
      </w:r>
      <w:r w:rsidR="000218FF" w:rsidRPr="000218FF">
        <w:t xml:space="preserve"> the SSB beams of the SSB burst </w:t>
      </w:r>
      <w:r w:rsidR="00CD68B8">
        <w:t>in both satellites or</w:t>
      </w:r>
      <w:r w:rsidR="000218FF" w:rsidRPr="000218FF">
        <w:t xml:space="preserve"> us</w:t>
      </w:r>
      <w:r w:rsidR="005C2FE2">
        <w:t xml:space="preserve">e </w:t>
      </w:r>
      <w:r w:rsidR="000218FF" w:rsidRPr="000218FF">
        <w:t xml:space="preserve">only part of SSB beams </w:t>
      </w:r>
      <w:r w:rsidR="00CD68B8">
        <w:t>in each satellite</w:t>
      </w:r>
      <w:r w:rsidR="000218FF" w:rsidRPr="000218FF">
        <w:t xml:space="preserve">. </w:t>
      </w:r>
      <w:r w:rsidR="003D1366">
        <w:t>Th</w:t>
      </w:r>
      <w:r w:rsidR="00882052">
        <w:t xml:space="preserve">e </w:t>
      </w:r>
      <w:r w:rsidR="003D1366">
        <w:t>cause</w:t>
      </w:r>
      <w:r w:rsidR="00882052">
        <w:t xml:space="preserve"> is </w:t>
      </w:r>
      <w:r w:rsidR="00CD68B8">
        <w:t xml:space="preserve">the delay </w:t>
      </w:r>
      <w:r w:rsidR="000218FF" w:rsidRPr="000218FF">
        <w:t>difference between feeder</w:t>
      </w:r>
      <w:r w:rsidR="003B1A75">
        <w:t xml:space="preserve"> and </w:t>
      </w:r>
      <w:r w:rsidR="000218FF" w:rsidRPr="000218FF">
        <w:t xml:space="preserve">service links for </w:t>
      </w:r>
      <w:r w:rsidR="002D194F">
        <w:t>both satellites</w:t>
      </w:r>
      <w:r w:rsidR="000218FF" w:rsidRPr="000218FF">
        <w:t xml:space="preserve">. </w:t>
      </w:r>
      <w:r w:rsidR="00747C17">
        <w:t>In addition</w:t>
      </w:r>
      <w:r w:rsidR="000218FF" w:rsidRPr="000218FF">
        <w:t xml:space="preserve">, at the UE, it is not clear </w:t>
      </w:r>
      <w:r w:rsidR="001C174A">
        <w:t>whether</w:t>
      </w:r>
      <w:r w:rsidR="000218FF" w:rsidRPr="000218FF">
        <w:t xml:space="preserve"> the timing of the SSB beams within the same burst can be kept</w:t>
      </w:r>
      <w:r w:rsidR="00110DA5">
        <w:t>, and a cell internal reconfiguration with sync is needed anyways</w:t>
      </w:r>
      <w:r w:rsidR="000218FF" w:rsidRPr="000218FF">
        <w:t>.</w:t>
      </w:r>
      <w:r w:rsidR="003344A5">
        <w:t xml:space="preserve"> </w:t>
      </w:r>
      <w:r w:rsidR="001C174A">
        <w:t>For those reasons,</w:t>
      </w:r>
      <w:r w:rsidR="00950CC9">
        <w:t xml:space="preserve"> the trade-off between solution’s complexity and benefits is not positive, so</w:t>
      </w:r>
      <w:r w:rsidR="00861280">
        <w:t xml:space="preserve"> </w:t>
      </w:r>
      <w:r w:rsidR="00882052">
        <w:t>RAN2 should focus</w:t>
      </w:r>
      <w:r w:rsidR="00950CC9">
        <w:t xml:space="preserve"> its</w:t>
      </w:r>
      <w:r w:rsidR="00882052">
        <w:t xml:space="preserve"> efforts on</w:t>
      </w:r>
      <w:r w:rsidR="0070334B">
        <w:t xml:space="preserve"> L3 mobility </w:t>
      </w:r>
      <w:r w:rsidR="00950CC9">
        <w:t>enhancements</w:t>
      </w:r>
      <w:r w:rsidR="0070334B">
        <w:t xml:space="preserve"> during Rel-18.</w:t>
      </w:r>
    </w:p>
    <w:p w14:paraId="5DFBA10D" w14:textId="77777777" w:rsidR="00B1668B" w:rsidRDefault="00B1668B" w:rsidP="00C1619F"/>
    <w:p w14:paraId="36EDF9DF" w14:textId="452AF0A1" w:rsidR="00204F3E" w:rsidRDefault="00204F3E" w:rsidP="00204F3E">
      <w:pPr>
        <w:pStyle w:val="Observation"/>
      </w:pPr>
      <w:bookmarkStart w:id="34" w:name="_Toc118444957"/>
      <w:r>
        <w:t>Reusing the same PCI during a service link soft switch increases the complexity in both UE and network sides.</w:t>
      </w:r>
      <w:bookmarkEnd w:id="34"/>
    </w:p>
    <w:p w14:paraId="2D01E202" w14:textId="77777777" w:rsidR="00204F3E" w:rsidRDefault="00204F3E" w:rsidP="00C1619F"/>
    <w:p w14:paraId="13DFC6C6" w14:textId="70D1A93B" w:rsidR="00B1668B" w:rsidRDefault="00B1668B" w:rsidP="00B1668B">
      <w:pPr>
        <w:pStyle w:val="Proposal"/>
      </w:pPr>
      <w:bookmarkStart w:id="35" w:name="_Toc118444962"/>
      <w:r>
        <w:t>Confirm the assumption that service link switch implies L3 mobility in Rel 18.</w:t>
      </w:r>
      <w:bookmarkEnd w:id="35"/>
    </w:p>
    <w:p w14:paraId="234D42F7" w14:textId="77777777" w:rsidR="00B1668B" w:rsidRDefault="00B1668B" w:rsidP="00B1668B">
      <w:pPr>
        <w:pStyle w:val="Proposal"/>
        <w:numPr>
          <w:ilvl w:val="0"/>
          <w:numId w:val="0"/>
        </w:numPr>
        <w:ind w:left="1701" w:hanging="1701"/>
      </w:pPr>
    </w:p>
    <w:p w14:paraId="29E283A8" w14:textId="38808B7E" w:rsidR="002C3DEC" w:rsidRPr="00C1619F" w:rsidRDefault="002C3DEC">
      <w:pPr>
        <w:overflowPunct/>
        <w:autoSpaceDE/>
        <w:autoSpaceDN/>
        <w:adjustRightInd/>
        <w:spacing w:after="0"/>
        <w:jc w:val="left"/>
        <w:textAlignment w:val="auto"/>
        <w:rPr>
          <w:sz w:val="32"/>
        </w:rPr>
      </w:pPr>
      <w:r>
        <w:rPr>
          <w:lang w:eastAsia="zh-CN"/>
        </w:rPr>
        <w:br w:type="page"/>
      </w:r>
    </w:p>
    <w:p w14:paraId="78663BC0" w14:textId="78D0AD11" w:rsidR="009170BA" w:rsidRDefault="004F33D9" w:rsidP="004F33D9">
      <w:pPr>
        <w:pStyle w:val="Heading1"/>
      </w:pPr>
      <w:r>
        <w:t>3</w:t>
      </w:r>
      <w:r>
        <w:tab/>
      </w:r>
      <w:r w:rsidR="009170BA">
        <w:t>Conclusions</w:t>
      </w:r>
    </w:p>
    <w:p w14:paraId="0D39E4CC" w14:textId="65974CB2"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6679DF4" w14:textId="06D37AC8" w:rsidR="003045A1"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18444947" w:history="1">
        <w:r w:rsidR="003045A1" w:rsidRPr="008466E7">
          <w:rPr>
            <w:rStyle w:val="Hyperlink"/>
            <w:noProof/>
          </w:rPr>
          <w:t>Observation 1</w:t>
        </w:r>
        <w:r w:rsidR="003045A1">
          <w:rPr>
            <w:rFonts w:asciiTheme="minorHAnsi" w:eastAsiaTheme="minorEastAsia" w:hAnsiTheme="minorHAnsi" w:cstheme="minorBidi"/>
            <w:b w:val="0"/>
            <w:noProof/>
            <w:sz w:val="22"/>
            <w:szCs w:val="22"/>
            <w:lang w:val="en-SE" w:eastAsia="en-SE"/>
          </w:rPr>
          <w:tab/>
        </w:r>
        <w:r w:rsidR="003045A1" w:rsidRPr="008466E7">
          <w:rPr>
            <w:rStyle w:val="Hyperlink"/>
            <w:noProof/>
          </w:rPr>
          <w:t>Quasi-earth fixed cell scenarios and feeder link switch in Earth-moving cell scenarios may involve a considerable signalling load during the RA procedure and during the handover preparation phase</w:t>
        </w:r>
      </w:hyperlink>
    </w:p>
    <w:p w14:paraId="00239401" w14:textId="511D7CB2" w:rsidR="003045A1" w:rsidRDefault="006025B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4948" w:history="1">
        <w:r w:rsidR="003045A1" w:rsidRPr="008466E7">
          <w:rPr>
            <w:rStyle w:val="Hyperlink"/>
            <w:noProof/>
          </w:rPr>
          <w:t>Observation 2</w:t>
        </w:r>
        <w:r w:rsidR="003045A1">
          <w:rPr>
            <w:rFonts w:asciiTheme="minorHAnsi" w:eastAsiaTheme="minorEastAsia" w:hAnsiTheme="minorHAnsi" w:cstheme="minorBidi"/>
            <w:b w:val="0"/>
            <w:noProof/>
            <w:sz w:val="22"/>
            <w:szCs w:val="22"/>
            <w:lang w:val="en-SE" w:eastAsia="en-SE"/>
          </w:rPr>
          <w:tab/>
        </w:r>
        <w:r w:rsidR="003045A1" w:rsidRPr="008466E7">
          <w:rPr>
            <w:rStyle w:val="Hyperlink"/>
            <w:noProof/>
          </w:rPr>
          <w:t>In a quasi-earth fixed cell and at a feeder link switch, most of UEs in the source cell will perform handover to the same target cell. Only UEs moving closer to the cell border may need to perform handover to a different target cell.</w:t>
        </w:r>
      </w:hyperlink>
    </w:p>
    <w:p w14:paraId="6FF18F4D" w14:textId="52090E64" w:rsidR="003045A1" w:rsidRDefault="006025B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4949" w:history="1">
        <w:r w:rsidR="003045A1" w:rsidRPr="008466E7">
          <w:rPr>
            <w:rStyle w:val="Hyperlink"/>
            <w:noProof/>
          </w:rPr>
          <w:t>Observation 3</w:t>
        </w:r>
        <w:r w:rsidR="003045A1">
          <w:rPr>
            <w:rFonts w:asciiTheme="minorHAnsi" w:eastAsiaTheme="minorEastAsia" w:hAnsiTheme="minorHAnsi" w:cstheme="minorBidi"/>
            <w:b w:val="0"/>
            <w:noProof/>
            <w:sz w:val="22"/>
            <w:szCs w:val="22"/>
            <w:lang w:val="en-SE" w:eastAsia="en-SE"/>
          </w:rPr>
          <w:tab/>
        </w:r>
        <w:r w:rsidR="003045A1" w:rsidRPr="008466E7">
          <w:rPr>
            <w:rStyle w:val="Hyperlink"/>
            <w:noProof/>
          </w:rPr>
          <w:t>CHO mitigates the signalling load in the source cell since handover preparation information can be sent well in advance before the short overlap time between old (source) cell and new (target) cell, or before a feeder link switch.</w:t>
        </w:r>
      </w:hyperlink>
    </w:p>
    <w:p w14:paraId="21136BDF" w14:textId="24095565" w:rsidR="003045A1" w:rsidRDefault="006025B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4950" w:history="1">
        <w:r w:rsidR="003045A1" w:rsidRPr="008466E7">
          <w:rPr>
            <w:rStyle w:val="Hyperlink"/>
            <w:noProof/>
          </w:rPr>
          <w:t>Observation 4</w:t>
        </w:r>
        <w:r w:rsidR="003045A1">
          <w:rPr>
            <w:rFonts w:asciiTheme="minorHAnsi" w:eastAsiaTheme="minorEastAsia" w:hAnsiTheme="minorHAnsi" w:cstheme="minorBidi"/>
            <w:b w:val="0"/>
            <w:noProof/>
            <w:sz w:val="22"/>
            <w:szCs w:val="22"/>
            <w:lang w:val="en-SE" w:eastAsia="en-SE"/>
          </w:rPr>
          <w:tab/>
        </w:r>
        <w:r w:rsidR="003045A1" w:rsidRPr="008466E7">
          <w:rPr>
            <w:rStyle w:val="Hyperlink"/>
            <w:noProof/>
          </w:rPr>
          <w:t>Unlike CHO, group-based handover requires additional signalling between network and a group of UEs to trigger handover to the target cell and may raise security concerns.</w:t>
        </w:r>
      </w:hyperlink>
    </w:p>
    <w:p w14:paraId="011E0549" w14:textId="3116F223" w:rsidR="003045A1" w:rsidRDefault="006025B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4951" w:history="1">
        <w:r w:rsidR="003045A1" w:rsidRPr="008466E7">
          <w:rPr>
            <w:rStyle w:val="Hyperlink"/>
            <w:noProof/>
          </w:rPr>
          <w:t>Observation 5</w:t>
        </w:r>
        <w:r w:rsidR="003045A1">
          <w:rPr>
            <w:rFonts w:asciiTheme="minorHAnsi" w:eastAsiaTheme="minorEastAsia" w:hAnsiTheme="minorHAnsi" w:cstheme="minorBidi"/>
            <w:b w:val="0"/>
            <w:noProof/>
            <w:sz w:val="22"/>
            <w:szCs w:val="22"/>
            <w:lang w:val="en-SE" w:eastAsia="en-SE"/>
          </w:rPr>
          <w:tab/>
        </w:r>
        <w:r w:rsidR="003045A1" w:rsidRPr="008466E7">
          <w:rPr>
            <w:rStyle w:val="Hyperlink"/>
            <w:noProof/>
          </w:rPr>
          <w:t>Most information provided to each UE in the (C)HO command describing target cell configuration is identical for all UEs accessing the same target cell.</w:t>
        </w:r>
      </w:hyperlink>
    </w:p>
    <w:p w14:paraId="77BD68A1" w14:textId="2951DA80" w:rsidR="003045A1" w:rsidRDefault="006025B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4952" w:history="1">
        <w:r w:rsidR="003045A1" w:rsidRPr="008466E7">
          <w:rPr>
            <w:rStyle w:val="Hyperlink"/>
            <w:noProof/>
          </w:rPr>
          <w:t>Observation 6</w:t>
        </w:r>
        <w:r w:rsidR="003045A1">
          <w:rPr>
            <w:rFonts w:asciiTheme="minorHAnsi" w:eastAsiaTheme="minorEastAsia" w:hAnsiTheme="minorHAnsi" w:cstheme="minorBidi"/>
            <w:b w:val="0"/>
            <w:noProof/>
            <w:sz w:val="22"/>
            <w:szCs w:val="22"/>
            <w:lang w:val="en-SE" w:eastAsia="en-SE"/>
          </w:rPr>
          <w:tab/>
        </w:r>
        <w:r w:rsidR="003045A1" w:rsidRPr="008466E7">
          <w:rPr>
            <w:rStyle w:val="Hyperlink"/>
            <w:noProof/>
          </w:rPr>
          <w:t>Certain target cell configurations such as C-RTNI or security keys need to be sent in a dedicated manner to each UE.</w:t>
        </w:r>
      </w:hyperlink>
    </w:p>
    <w:p w14:paraId="3863E1A6" w14:textId="3C28AD05" w:rsidR="003045A1" w:rsidRDefault="006025B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4953" w:history="1">
        <w:r w:rsidR="003045A1" w:rsidRPr="008466E7">
          <w:rPr>
            <w:rStyle w:val="Hyperlink"/>
            <w:noProof/>
          </w:rPr>
          <w:t>Observation 7</w:t>
        </w:r>
        <w:r w:rsidR="003045A1">
          <w:rPr>
            <w:rFonts w:asciiTheme="minorHAnsi" w:eastAsiaTheme="minorEastAsia" w:hAnsiTheme="minorHAnsi" w:cstheme="minorBidi"/>
            <w:b w:val="0"/>
            <w:noProof/>
            <w:sz w:val="22"/>
            <w:szCs w:val="22"/>
            <w:lang w:val="en-SE" w:eastAsia="en-SE"/>
          </w:rPr>
          <w:tab/>
        </w:r>
        <w:r w:rsidR="003045A1" w:rsidRPr="008466E7">
          <w:rPr>
            <w:rStyle w:val="Hyperlink"/>
            <w:noProof/>
          </w:rPr>
          <w:t>Group-based handover distributes common information on a per group basis which might entail more signalling overhead than broadcasting in System Information.</w:t>
        </w:r>
      </w:hyperlink>
    </w:p>
    <w:p w14:paraId="6AD477BE" w14:textId="4927F7B4" w:rsidR="003045A1" w:rsidRDefault="006025B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4954" w:history="1">
        <w:r w:rsidR="003045A1" w:rsidRPr="008466E7">
          <w:rPr>
            <w:rStyle w:val="Hyperlink"/>
            <w:noProof/>
          </w:rPr>
          <w:t>Observation 8</w:t>
        </w:r>
        <w:r w:rsidR="003045A1">
          <w:rPr>
            <w:rFonts w:asciiTheme="minorHAnsi" w:eastAsiaTheme="minorEastAsia" w:hAnsiTheme="minorHAnsi" w:cstheme="minorBidi"/>
            <w:b w:val="0"/>
            <w:noProof/>
            <w:sz w:val="22"/>
            <w:szCs w:val="22"/>
            <w:lang w:val="en-SE" w:eastAsia="en-SE"/>
          </w:rPr>
          <w:tab/>
        </w:r>
        <w:r w:rsidR="003045A1" w:rsidRPr="008466E7">
          <w:rPr>
            <w:rStyle w:val="Hyperlink"/>
            <w:noProof/>
          </w:rPr>
          <w:t>From a deployment perspective, during service link switch in a quasi-Earth fixed cell or a feeder link switch in an Earth-moving cell, it can be assumed that the source cell and the target cell will be configured almost identically.</w:t>
        </w:r>
      </w:hyperlink>
    </w:p>
    <w:p w14:paraId="74029713" w14:textId="1F36211B" w:rsidR="003045A1" w:rsidRDefault="006025B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4955" w:history="1">
        <w:r w:rsidR="003045A1" w:rsidRPr="008466E7">
          <w:rPr>
            <w:rStyle w:val="Hyperlink"/>
            <w:noProof/>
          </w:rPr>
          <w:t>Observation 9</w:t>
        </w:r>
        <w:r w:rsidR="003045A1">
          <w:rPr>
            <w:rFonts w:asciiTheme="minorHAnsi" w:eastAsiaTheme="minorEastAsia" w:hAnsiTheme="minorHAnsi" w:cstheme="minorBidi"/>
            <w:b w:val="0"/>
            <w:noProof/>
            <w:sz w:val="22"/>
            <w:szCs w:val="22"/>
            <w:lang w:val="en-SE" w:eastAsia="en-SE"/>
          </w:rPr>
          <w:tab/>
        </w:r>
        <w:r w:rsidR="003045A1" w:rsidRPr="008466E7">
          <w:rPr>
            <w:rStyle w:val="Hyperlink"/>
            <w:noProof/>
          </w:rPr>
          <w:t>Reusing PCI after service link switch is only valid in limited scenarios.</w:t>
        </w:r>
      </w:hyperlink>
    </w:p>
    <w:p w14:paraId="226AB934" w14:textId="03C5C9CC" w:rsidR="003045A1" w:rsidRDefault="006025B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4956" w:history="1">
        <w:r w:rsidR="003045A1" w:rsidRPr="008466E7">
          <w:rPr>
            <w:rStyle w:val="Hyperlink"/>
            <w:noProof/>
          </w:rPr>
          <w:t>Observation 10</w:t>
        </w:r>
        <w:r w:rsidR="003045A1">
          <w:rPr>
            <w:rFonts w:asciiTheme="minorHAnsi" w:eastAsiaTheme="minorEastAsia" w:hAnsiTheme="minorHAnsi" w:cstheme="minorBidi"/>
            <w:b w:val="0"/>
            <w:noProof/>
            <w:sz w:val="22"/>
            <w:szCs w:val="22"/>
            <w:lang w:val="en-SE" w:eastAsia="en-SE"/>
          </w:rPr>
          <w:tab/>
        </w:r>
        <w:r w:rsidR="003045A1" w:rsidRPr="008466E7">
          <w:rPr>
            <w:rStyle w:val="Hyperlink"/>
            <w:noProof/>
          </w:rPr>
          <w:t>The current assumption that service link switch implies L3 mobility was taken at RAN2#112-e.</w:t>
        </w:r>
      </w:hyperlink>
    </w:p>
    <w:p w14:paraId="734FB8C2" w14:textId="5AB797EB" w:rsidR="003045A1" w:rsidRDefault="006025B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4957" w:history="1">
        <w:r w:rsidR="003045A1" w:rsidRPr="008466E7">
          <w:rPr>
            <w:rStyle w:val="Hyperlink"/>
            <w:noProof/>
          </w:rPr>
          <w:t>Observation 11</w:t>
        </w:r>
        <w:r w:rsidR="003045A1">
          <w:rPr>
            <w:rFonts w:asciiTheme="minorHAnsi" w:eastAsiaTheme="minorEastAsia" w:hAnsiTheme="minorHAnsi" w:cstheme="minorBidi"/>
            <w:b w:val="0"/>
            <w:noProof/>
            <w:sz w:val="22"/>
            <w:szCs w:val="22"/>
            <w:lang w:val="en-SE" w:eastAsia="en-SE"/>
          </w:rPr>
          <w:tab/>
        </w:r>
        <w:r w:rsidR="003045A1" w:rsidRPr="008466E7">
          <w:rPr>
            <w:rStyle w:val="Hyperlink"/>
            <w:noProof/>
          </w:rPr>
          <w:t>Reusing the same PCI during a service link soft switch increases the complexity in both UE and network sides.</w:t>
        </w:r>
      </w:hyperlink>
    </w:p>
    <w:p w14:paraId="21E720E8" w14:textId="546FE582" w:rsidR="006E1C82" w:rsidRDefault="006F6582" w:rsidP="008E065E">
      <w:pPr>
        <w:pStyle w:val="BodyText"/>
        <w:rPr>
          <w:b/>
          <w:bCs/>
        </w:rPr>
      </w:pP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02B7304" w14:textId="632F919F" w:rsidR="003045A1"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18444958" w:history="1">
        <w:r w:rsidR="003045A1" w:rsidRPr="002F50CE">
          <w:rPr>
            <w:rStyle w:val="Hyperlink"/>
            <w:noProof/>
          </w:rPr>
          <w:t>Proposal 1</w:t>
        </w:r>
        <w:r w:rsidR="003045A1">
          <w:rPr>
            <w:rFonts w:asciiTheme="minorHAnsi" w:eastAsiaTheme="minorEastAsia" w:hAnsiTheme="minorHAnsi" w:cstheme="minorBidi"/>
            <w:b w:val="0"/>
            <w:noProof/>
            <w:sz w:val="22"/>
            <w:szCs w:val="22"/>
            <w:lang w:val="en-SE" w:eastAsia="en-SE"/>
          </w:rPr>
          <w:tab/>
        </w:r>
        <w:r w:rsidR="003045A1" w:rsidRPr="002F50CE">
          <w:rPr>
            <w:rStyle w:val="Hyperlink"/>
            <w:noProof/>
          </w:rPr>
          <w:t>RAN2 to focus on CHO enhancements to reduce HO signalling overhead in NTN.</w:t>
        </w:r>
      </w:hyperlink>
    </w:p>
    <w:p w14:paraId="2DE82E9B" w14:textId="1B4D60C9" w:rsidR="003045A1" w:rsidRDefault="006025B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4959" w:history="1">
        <w:r w:rsidR="003045A1" w:rsidRPr="002F50CE">
          <w:rPr>
            <w:rStyle w:val="Hyperlink"/>
            <w:noProof/>
          </w:rPr>
          <w:t>Proposal 2</w:t>
        </w:r>
        <w:r w:rsidR="003045A1">
          <w:rPr>
            <w:rFonts w:asciiTheme="minorHAnsi" w:eastAsiaTheme="minorEastAsia" w:hAnsiTheme="minorHAnsi" w:cstheme="minorBidi"/>
            <w:b w:val="0"/>
            <w:noProof/>
            <w:sz w:val="22"/>
            <w:szCs w:val="22"/>
            <w:lang w:val="en-SE" w:eastAsia="en-SE"/>
          </w:rPr>
          <w:tab/>
        </w:r>
        <w:r w:rsidR="003045A1" w:rsidRPr="002F50CE">
          <w:rPr>
            <w:rStyle w:val="Hyperlink"/>
            <w:noProof/>
          </w:rPr>
          <w:t>(C)HO common target cell configuration is broadcast in System Information.</w:t>
        </w:r>
      </w:hyperlink>
    </w:p>
    <w:p w14:paraId="3F50B518" w14:textId="07042696" w:rsidR="003045A1" w:rsidRDefault="006025B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4960" w:history="1">
        <w:r w:rsidR="003045A1" w:rsidRPr="002F50CE">
          <w:rPr>
            <w:rStyle w:val="Hyperlink"/>
            <w:noProof/>
          </w:rPr>
          <w:t>Proposal 3</w:t>
        </w:r>
        <w:r w:rsidR="003045A1">
          <w:rPr>
            <w:rFonts w:asciiTheme="minorHAnsi" w:eastAsiaTheme="minorEastAsia" w:hAnsiTheme="minorHAnsi" w:cstheme="minorBidi"/>
            <w:b w:val="0"/>
            <w:noProof/>
            <w:sz w:val="22"/>
            <w:szCs w:val="22"/>
            <w:lang w:val="en-SE" w:eastAsia="en-SE"/>
          </w:rPr>
          <w:tab/>
        </w:r>
        <w:r w:rsidR="003045A1" w:rsidRPr="002F50CE">
          <w:rPr>
            <w:rStyle w:val="Hyperlink"/>
            <w:noProof/>
          </w:rPr>
          <w:t>Delta configuration between leaving and incoming cells is used to broadcast (C)HO common target cell information in System Information.</w:t>
        </w:r>
      </w:hyperlink>
    </w:p>
    <w:p w14:paraId="164029D2" w14:textId="1A4DD4E7" w:rsidR="003045A1" w:rsidRDefault="006025B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4961" w:history="1">
        <w:r w:rsidR="003045A1" w:rsidRPr="002F50CE">
          <w:rPr>
            <w:rStyle w:val="Hyperlink"/>
            <w:noProof/>
          </w:rPr>
          <w:t>Proposal 4</w:t>
        </w:r>
        <w:r w:rsidR="003045A1">
          <w:rPr>
            <w:rFonts w:asciiTheme="minorHAnsi" w:eastAsiaTheme="minorEastAsia" w:hAnsiTheme="minorHAnsi" w:cstheme="minorBidi"/>
            <w:b w:val="0"/>
            <w:noProof/>
            <w:sz w:val="22"/>
            <w:szCs w:val="22"/>
            <w:lang w:val="en-SE" w:eastAsia="en-SE"/>
          </w:rPr>
          <w:tab/>
        </w:r>
        <w:r w:rsidR="003045A1" w:rsidRPr="002F50CE">
          <w:rPr>
            <w:rStyle w:val="Hyperlink"/>
            <w:noProof/>
          </w:rPr>
          <w:t>Optimizing the (C)HO command for the concerned NTN scenarios so that only the UE unique configuration is carried in the RRC message.</w:t>
        </w:r>
      </w:hyperlink>
    </w:p>
    <w:p w14:paraId="3691176F" w14:textId="4B64A4AE" w:rsidR="003045A1" w:rsidRDefault="006025B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4962" w:history="1">
        <w:r w:rsidR="003045A1" w:rsidRPr="002F50CE">
          <w:rPr>
            <w:rStyle w:val="Hyperlink"/>
            <w:noProof/>
          </w:rPr>
          <w:t>Proposal 5</w:t>
        </w:r>
        <w:r w:rsidR="003045A1">
          <w:rPr>
            <w:rFonts w:asciiTheme="minorHAnsi" w:eastAsiaTheme="minorEastAsia" w:hAnsiTheme="minorHAnsi" w:cstheme="minorBidi"/>
            <w:b w:val="0"/>
            <w:noProof/>
            <w:sz w:val="22"/>
            <w:szCs w:val="22"/>
            <w:lang w:val="en-SE" w:eastAsia="en-SE"/>
          </w:rPr>
          <w:tab/>
        </w:r>
        <w:r w:rsidR="003045A1" w:rsidRPr="002F50CE">
          <w:rPr>
            <w:rStyle w:val="Hyperlink"/>
            <w:noProof/>
          </w:rPr>
          <w:t>Confirm the assumption that service link switch implies L3 mobility in Rel 18.</w:t>
        </w:r>
      </w:hyperlink>
    </w:p>
    <w:p w14:paraId="6822921F" w14:textId="773CD55D" w:rsidR="00311702" w:rsidRPr="00645DEF" w:rsidRDefault="006E1C82" w:rsidP="00645DEF">
      <w:pPr>
        <w:pStyle w:val="BodyText"/>
        <w:rPr>
          <w:b/>
          <w:bCs/>
        </w:rPr>
      </w:pPr>
      <w:r>
        <w:rPr>
          <w:b/>
          <w:bCs/>
          <w:lang w:val="en-US"/>
        </w:rPr>
        <w:fldChar w:fldCharType="end"/>
      </w:r>
      <w:r w:rsidRPr="00CE0424">
        <w:rPr>
          <w:b/>
          <w:bCs/>
        </w:rPr>
        <w:t xml:space="preserve"> </w:t>
      </w:r>
    </w:p>
    <w:p w14:paraId="114CACFF" w14:textId="64840A3C" w:rsidR="0059527A" w:rsidRDefault="0059527A">
      <w:pPr>
        <w:overflowPunct/>
        <w:autoSpaceDE/>
        <w:autoSpaceDN/>
        <w:adjustRightInd/>
        <w:spacing w:after="0"/>
        <w:jc w:val="left"/>
        <w:textAlignment w:val="auto"/>
      </w:pPr>
      <w:r>
        <w:br w:type="page"/>
      </w:r>
    </w:p>
    <w:p w14:paraId="45955E2C" w14:textId="77777777" w:rsidR="00F507D1" w:rsidRPr="00CE0424" w:rsidRDefault="00F507D1" w:rsidP="00CE0424">
      <w:pPr>
        <w:pStyle w:val="Heading1"/>
      </w:pPr>
      <w:bookmarkStart w:id="36" w:name="_In-sequence_SDU_delivery"/>
      <w:bookmarkEnd w:id="36"/>
      <w:r w:rsidRPr="00CE0424">
        <w:t>References</w:t>
      </w:r>
    </w:p>
    <w:p w14:paraId="122CACAD" w14:textId="18CF5053" w:rsidR="003A7EF3" w:rsidRDefault="00FA3AD7" w:rsidP="00761CF8">
      <w:pPr>
        <w:pStyle w:val="Reference"/>
      </w:pPr>
      <w:bookmarkStart w:id="37" w:name="_Ref174151459"/>
      <w:bookmarkStart w:id="38" w:name="_Ref189809556"/>
      <w:r>
        <w:t>RP-22</w:t>
      </w:r>
      <w:r w:rsidR="00F344DB">
        <w:t>2654</w:t>
      </w:r>
      <w:r>
        <w:t xml:space="preserve">, </w:t>
      </w:r>
      <w:r w:rsidRPr="00285F52">
        <w:t>NR NTN (Non-Terrestrial Networks) enhancements</w:t>
      </w:r>
      <w:r>
        <w:t>, Thales, RAN#9</w:t>
      </w:r>
      <w:r w:rsidR="00F344DB">
        <w:t>7</w:t>
      </w:r>
      <w:r>
        <w:t xml:space="preserve">, </w:t>
      </w:r>
      <w:r w:rsidR="00F344DB">
        <w:t>September</w:t>
      </w:r>
      <w:r w:rsidRPr="00285F52">
        <w:t xml:space="preserve"> 2022</w:t>
      </w:r>
      <w:bookmarkEnd w:id="37"/>
      <w:bookmarkEnd w:id="38"/>
      <w:r w:rsidR="00761CF8">
        <w:t>.</w:t>
      </w:r>
    </w:p>
    <w:p w14:paraId="01171C87" w14:textId="16CEDBB4" w:rsidR="003378D6" w:rsidRDefault="003378D6" w:rsidP="003378D6">
      <w:pPr>
        <w:pStyle w:val="Reference"/>
      </w:pPr>
      <w:r>
        <w:t xml:space="preserve">3GPP </w:t>
      </w:r>
      <w:r w:rsidRPr="003378D6">
        <w:t>TR 38.821</w:t>
      </w:r>
      <w:r>
        <w:t>, Solutions for NR to support non-terrestrial networks (NTN), Release 16</w:t>
      </w:r>
      <w:r w:rsidR="00340D7D">
        <w:t>.</w:t>
      </w:r>
    </w:p>
    <w:p w14:paraId="21C01465" w14:textId="64494203" w:rsidR="00E32D01" w:rsidRDefault="00645DEF" w:rsidP="003378D6">
      <w:pPr>
        <w:pStyle w:val="Reference"/>
      </w:pPr>
      <w:r>
        <w:t xml:space="preserve">R2-2210801, </w:t>
      </w:r>
      <w:r w:rsidRPr="00D808AC">
        <w:t>Report from Break-out session on NR-NTN and IoT-NTN</w:t>
      </w:r>
      <w:r>
        <w:t xml:space="preserve">, </w:t>
      </w:r>
      <w:r w:rsidRPr="00D808AC">
        <w:t>RAN2#119bis-e, October 2022</w:t>
      </w:r>
      <w:r w:rsidR="00340D7D">
        <w:t>.</w:t>
      </w:r>
    </w:p>
    <w:p w14:paraId="7D5A5E4A" w14:textId="602D81CD" w:rsidR="00340D7D" w:rsidRDefault="00340D7D" w:rsidP="003378D6">
      <w:pPr>
        <w:pStyle w:val="Reference"/>
      </w:pPr>
      <w:r w:rsidRPr="00340D7D">
        <w:t>R2-2210405</w:t>
      </w:r>
      <w:r w:rsidR="00024DC7">
        <w:t xml:space="preserve">, </w:t>
      </w:r>
      <w:r w:rsidR="00BD45A5" w:rsidRPr="00BD45A5">
        <w:t>Discussion on NTN mobility enhancements</w:t>
      </w:r>
      <w:r w:rsidR="00BD45A5">
        <w:t>, Huawei, RAN2#119bis-e, October 2022.</w:t>
      </w:r>
    </w:p>
    <w:p w14:paraId="2C469818" w14:textId="77777777" w:rsidR="00DF54AD" w:rsidRPr="00761CF8" w:rsidRDefault="00DF54AD" w:rsidP="00DF54AD">
      <w:pPr>
        <w:pStyle w:val="Reference"/>
      </w:pPr>
      <w:r w:rsidRPr="00D466B1">
        <w:t>R2-2009820</w:t>
      </w:r>
      <w:r>
        <w:t xml:space="preserve">, </w:t>
      </w:r>
      <w:r w:rsidRPr="00765E1F">
        <w:t>[POST111e][910][NTN] Impacts of earth fixed and moving beams</w:t>
      </w:r>
      <w:r>
        <w:t>, Ericsson, RAN2#112-e, November 2020.</w:t>
      </w:r>
    </w:p>
    <w:p w14:paraId="1205F2B8" w14:textId="2CE8CED3" w:rsidR="00A123DA" w:rsidRDefault="00A123DA" w:rsidP="003378D6">
      <w:pPr>
        <w:pStyle w:val="Reference"/>
      </w:pPr>
      <w:r w:rsidRPr="00A123DA">
        <w:t>R2-2210862</w:t>
      </w:r>
      <w:r w:rsidR="00C16E65">
        <w:t xml:space="preserve">, </w:t>
      </w:r>
      <w:r w:rsidR="00C16E65" w:rsidRPr="00C16E65">
        <w:t>Report from [AT119bis-e][119][NR NTN Enh] HO enhancements</w:t>
      </w:r>
      <w:r w:rsidR="00C16E65">
        <w:t>, Nok</w:t>
      </w:r>
      <w:r w:rsidR="00FB6F9C">
        <w:t>i</w:t>
      </w:r>
      <w:r w:rsidR="00C16E65">
        <w:t>a, RAN2#119bis-e, October 2022.</w:t>
      </w:r>
    </w:p>
    <w:p w14:paraId="6A0F321E" w14:textId="65C95C4F" w:rsidR="00DF54AD" w:rsidRDefault="000831B6" w:rsidP="003378D6">
      <w:pPr>
        <w:pStyle w:val="Reference"/>
      </w:pPr>
      <w:r w:rsidRPr="000831B6">
        <w:t>R2-2010702</w:t>
      </w:r>
      <w:r>
        <w:t xml:space="preserve">, </w:t>
      </w:r>
      <w:r w:rsidR="00B97356" w:rsidRPr="00B97356">
        <w:t>Report from Break-out session on R16 eMIMO, CLI, PRN, RACS and R17 NTN and REDCAP</w:t>
      </w:r>
      <w:r w:rsidR="00B97356">
        <w:t>, Vice Chairman (ZTE Corporation), RAN2#112-e, November 2020.</w:t>
      </w:r>
    </w:p>
    <w:sectPr w:rsidR="00DF54AD"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1FA81" w14:textId="77777777" w:rsidR="004A1EA8" w:rsidRDefault="004A1EA8">
      <w:r>
        <w:separator/>
      </w:r>
    </w:p>
  </w:endnote>
  <w:endnote w:type="continuationSeparator" w:id="0">
    <w:p w14:paraId="52E37811" w14:textId="77777777" w:rsidR="004A1EA8" w:rsidRDefault="004A1EA8">
      <w:r>
        <w:continuationSeparator/>
      </w:r>
    </w:p>
  </w:endnote>
  <w:endnote w:type="continuationNotice" w:id="1">
    <w:p w14:paraId="471CD88E" w14:textId="77777777" w:rsidR="004A1EA8" w:rsidRDefault="004A1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CFEBD" w14:textId="77777777" w:rsidR="004A1EA8" w:rsidRDefault="004A1EA8">
      <w:r>
        <w:separator/>
      </w:r>
    </w:p>
  </w:footnote>
  <w:footnote w:type="continuationSeparator" w:id="0">
    <w:p w14:paraId="24318215" w14:textId="77777777" w:rsidR="004A1EA8" w:rsidRDefault="004A1EA8">
      <w:r>
        <w:continuationSeparator/>
      </w:r>
    </w:p>
  </w:footnote>
  <w:footnote w:type="continuationNotice" w:id="1">
    <w:p w14:paraId="43D596F5" w14:textId="77777777" w:rsidR="004A1EA8" w:rsidRDefault="004A1E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8DC1A5"/>
    <w:multiLevelType w:val="multilevel"/>
    <w:tmpl w:val="808DC1A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7C"/>
    <w:multiLevelType w:val="singleLevel"/>
    <w:tmpl w:val="24F42D1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854BEC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DD2468"/>
    <w:multiLevelType w:val="hybridMultilevel"/>
    <w:tmpl w:val="DE5AB4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D03487"/>
    <w:multiLevelType w:val="hybridMultilevel"/>
    <w:tmpl w:val="DEF04280"/>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16350"/>
    <w:multiLevelType w:val="hybridMultilevel"/>
    <w:tmpl w:val="7D5490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74265F"/>
    <w:multiLevelType w:val="hybridMultilevel"/>
    <w:tmpl w:val="1A28DA3E"/>
    <w:lvl w:ilvl="0" w:tplc="20000001">
      <w:start w:val="1"/>
      <w:numFmt w:val="bullet"/>
      <w:lvlText w:val=""/>
      <w:lvlJc w:val="left"/>
      <w:pPr>
        <w:ind w:left="720" w:hanging="360"/>
      </w:pPr>
      <w:rPr>
        <w:rFonts w:ascii="Symbol" w:hAnsi="Symbol" w:hint="default"/>
      </w:rPr>
    </w:lvl>
    <w:lvl w:ilvl="1" w:tplc="44644086">
      <w:start w:val="6"/>
      <w:numFmt w:val="bullet"/>
      <w:lvlText w:val="•"/>
      <w:lvlJc w:val="left"/>
      <w:pPr>
        <w:ind w:left="1650" w:hanging="570"/>
      </w:pPr>
      <w:rPr>
        <w:rFonts w:ascii="Arial" w:eastAsia="Times New Roman"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3E3E51"/>
    <w:multiLevelType w:val="hybridMultilevel"/>
    <w:tmpl w:val="B41E63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4"/>
  </w:num>
  <w:num w:numId="3">
    <w:abstractNumId w:val="19"/>
  </w:num>
  <w:num w:numId="4">
    <w:abstractNumId w:val="20"/>
  </w:num>
  <w:num w:numId="5">
    <w:abstractNumId w:val="13"/>
  </w:num>
  <w:num w:numId="6">
    <w:abstractNumId w:val="22"/>
  </w:num>
  <w:num w:numId="7">
    <w:abstractNumId w:val="28"/>
  </w:num>
  <w:num w:numId="8">
    <w:abstractNumId w:val="14"/>
  </w:num>
  <w:num w:numId="9">
    <w:abstractNumId w:val="12"/>
  </w:num>
  <w:num w:numId="10">
    <w:abstractNumId w:val="3"/>
  </w:num>
  <w:num w:numId="11">
    <w:abstractNumId w:val="2"/>
  </w:num>
  <w:num w:numId="12">
    <w:abstractNumId w:val="1"/>
  </w:num>
  <w:num w:numId="13">
    <w:abstractNumId w:val="26"/>
  </w:num>
  <w:num w:numId="14">
    <w:abstractNumId w:val="27"/>
  </w:num>
  <w:num w:numId="15">
    <w:abstractNumId w:val="21"/>
  </w:num>
  <w:num w:numId="16">
    <w:abstractNumId w:val="30"/>
  </w:num>
  <w:num w:numId="17">
    <w:abstractNumId w:val="10"/>
  </w:num>
  <w:num w:numId="18">
    <w:abstractNumId w:val="11"/>
  </w:num>
  <w:num w:numId="19">
    <w:abstractNumId w:val="6"/>
  </w:num>
  <w:num w:numId="20">
    <w:abstractNumId w:val="33"/>
  </w:num>
  <w:num w:numId="21">
    <w:abstractNumId w:val="16"/>
  </w:num>
  <w:num w:numId="22">
    <w:abstractNumId w:val="32"/>
  </w:num>
  <w:num w:numId="23">
    <w:abstractNumId w:val="17"/>
  </w:num>
  <w:num w:numId="24">
    <w:abstractNumId w:val="15"/>
  </w:num>
  <w:num w:numId="25">
    <w:abstractNumId w:val="31"/>
  </w:num>
  <w:num w:numId="26">
    <w:abstractNumId w:val="0"/>
  </w:num>
  <w:num w:numId="27">
    <w:abstractNumId w:val="5"/>
  </w:num>
  <w:num w:numId="28">
    <w:abstractNumId w:val="9"/>
  </w:num>
  <w:num w:numId="29">
    <w:abstractNumId w:val="25"/>
  </w:num>
  <w:num w:numId="30">
    <w:abstractNumId w:val="7"/>
  </w:num>
  <w:num w:numId="31">
    <w:abstractNumId w:val="8"/>
  </w:num>
  <w:num w:numId="32">
    <w:abstractNumId w:val="18"/>
  </w:num>
  <w:num w:numId="33">
    <w:abstractNumId w:val="29"/>
  </w:num>
  <w:num w:numId="34">
    <w:abstractNumId w:val="26"/>
  </w:num>
  <w:num w:numId="3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6D6"/>
    <w:rsid w:val="00002A37"/>
    <w:rsid w:val="0000564C"/>
    <w:rsid w:val="00006446"/>
    <w:rsid w:val="00006896"/>
    <w:rsid w:val="00007CDC"/>
    <w:rsid w:val="00011B28"/>
    <w:rsid w:val="00015D15"/>
    <w:rsid w:val="00016FF6"/>
    <w:rsid w:val="000218FF"/>
    <w:rsid w:val="000225C3"/>
    <w:rsid w:val="00024DC7"/>
    <w:rsid w:val="0002564D"/>
    <w:rsid w:val="00025ECA"/>
    <w:rsid w:val="0002731F"/>
    <w:rsid w:val="000275AC"/>
    <w:rsid w:val="000325B8"/>
    <w:rsid w:val="00032D31"/>
    <w:rsid w:val="00034882"/>
    <w:rsid w:val="00034C15"/>
    <w:rsid w:val="00034F71"/>
    <w:rsid w:val="000352E9"/>
    <w:rsid w:val="000359DB"/>
    <w:rsid w:val="00036BA1"/>
    <w:rsid w:val="000422E2"/>
    <w:rsid w:val="000424EF"/>
    <w:rsid w:val="00042F22"/>
    <w:rsid w:val="000437C1"/>
    <w:rsid w:val="000444EF"/>
    <w:rsid w:val="00044ABB"/>
    <w:rsid w:val="00045800"/>
    <w:rsid w:val="00052917"/>
    <w:rsid w:val="00052A07"/>
    <w:rsid w:val="000534E3"/>
    <w:rsid w:val="000555D2"/>
    <w:rsid w:val="0005606A"/>
    <w:rsid w:val="00056F3B"/>
    <w:rsid w:val="00057117"/>
    <w:rsid w:val="000615CE"/>
    <w:rsid w:val="000616E7"/>
    <w:rsid w:val="00062965"/>
    <w:rsid w:val="0006487E"/>
    <w:rsid w:val="00065E1A"/>
    <w:rsid w:val="0006625D"/>
    <w:rsid w:val="000662DE"/>
    <w:rsid w:val="00066FDE"/>
    <w:rsid w:val="0006780B"/>
    <w:rsid w:val="00071B7F"/>
    <w:rsid w:val="00076F7C"/>
    <w:rsid w:val="00077E5F"/>
    <w:rsid w:val="000800C5"/>
    <w:rsid w:val="0008036A"/>
    <w:rsid w:val="0008160C"/>
    <w:rsid w:val="00081AE6"/>
    <w:rsid w:val="000831B6"/>
    <w:rsid w:val="0008469A"/>
    <w:rsid w:val="000855EB"/>
    <w:rsid w:val="00085B52"/>
    <w:rsid w:val="000866F2"/>
    <w:rsid w:val="0009009F"/>
    <w:rsid w:val="00091557"/>
    <w:rsid w:val="000924C1"/>
    <w:rsid w:val="000924F0"/>
    <w:rsid w:val="000931BE"/>
    <w:rsid w:val="00093474"/>
    <w:rsid w:val="00093E4E"/>
    <w:rsid w:val="00093F15"/>
    <w:rsid w:val="0009510F"/>
    <w:rsid w:val="000A1B7B"/>
    <w:rsid w:val="000A3B14"/>
    <w:rsid w:val="000A56F2"/>
    <w:rsid w:val="000A7497"/>
    <w:rsid w:val="000B0496"/>
    <w:rsid w:val="000B2719"/>
    <w:rsid w:val="000B2F62"/>
    <w:rsid w:val="000B3A8F"/>
    <w:rsid w:val="000B42DC"/>
    <w:rsid w:val="000B4AB9"/>
    <w:rsid w:val="000B58C3"/>
    <w:rsid w:val="000B61E9"/>
    <w:rsid w:val="000B7978"/>
    <w:rsid w:val="000C09CA"/>
    <w:rsid w:val="000C165A"/>
    <w:rsid w:val="000C18BF"/>
    <w:rsid w:val="000C2E19"/>
    <w:rsid w:val="000C5000"/>
    <w:rsid w:val="000D0D07"/>
    <w:rsid w:val="000D4034"/>
    <w:rsid w:val="000D4797"/>
    <w:rsid w:val="000E0527"/>
    <w:rsid w:val="000E1068"/>
    <w:rsid w:val="000E10DF"/>
    <w:rsid w:val="000E1E92"/>
    <w:rsid w:val="000E3B03"/>
    <w:rsid w:val="000E72A0"/>
    <w:rsid w:val="000E7870"/>
    <w:rsid w:val="000F041D"/>
    <w:rsid w:val="000F06D6"/>
    <w:rsid w:val="000F0EB1"/>
    <w:rsid w:val="000F1106"/>
    <w:rsid w:val="000F3BE9"/>
    <w:rsid w:val="000F3DE3"/>
    <w:rsid w:val="000F3F6C"/>
    <w:rsid w:val="000F40AE"/>
    <w:rsid w:val="000F6DF3"/>
    <w:rsid w:val="001005FF"/>
    <w:rsid w:val="001045B2"/>
    <w:rsid w:val="00104D53"/>
    <w:rsid w:val="0010536F"/>
    <w:rsid w:val="001062FB"/>
    <w:rsid w:val="001063E6"/>
    <w:rsid w:val="00106C3B"/>
    <w:rsid w:val="00110A4A"/>
    <w:rsid w:val="00110DA5"/>
    <w:rsid w:val="00111088"/>
    <w:rsid w:val="001117BC"/>
    <w:rsid w:val="00113CF4"/>
    <w:rsid w:val="001153EA"/>
    <w:rsid w:val="00115643"/>
    <w:rsid w:val="00116765"/>
    <w:rsid w:val="001202E0"/>
    <w:rsid w:val="00120C4B"/>
    <w:rsid w:val="001219F5"/>
    <w:rsid w:val="00121A20"/>
    <w:rsid w:val="0012377F"/>
    <w:rsid w:val="00123B85"/>
    <w:rsid w:val="00123F36"/>
    <w:rsid w:val="00124314"/>
    <w:rsid w:val="001257AF"/>
    <w:rsid w:val="00126B4A"/>
    <w:rsid w:val="00130CCA"/>
    <w:rsid w:val="00132FD0"/>
    <w:rsid w:val="001333CE"/>
    <w:rsid w:val="00133EC6"/>
    <w:rsid w:val="001344C0"/>
    <w:rsid w:val="001346FA"/>
    <w:rsid w:val="00135252"/>
    <w:rsid w:val="00137013"/>
    <w:rsid w:val="00137AB5"/>
    <w:rsid w:val="00137F0B"/>
    <w:rsid w:val="0014335F"/>
    <w:rsid w:val="001447B5"/>
    <w:rsid w:val="00144945"/>
    <w:rsid w:val="00146380"/>
    <w:rsid w:val="0014773D"/>
    <w:rsid w:val="0015007F"/>
    <w:rsid w:val="00151E23"/>
    <w:rsid w:val="001526E0"/>
    <w:rsid w:val="00152C90"/>
    <w:rsid w:val="00153D92"/>
    <w:rsid w:val="001551B5"/>
    <w:rsid w:val="001602F8"/>
    <w:rsid w:val="00160E55"/>
    <w:rsid w:val="00164983"/>
    <w:rsid w:val="001659C1"/>
    <w:rsid w:val="0017210E"/>
    <w:rsid w:val="00173A8E"/>
    <w:rsid w:val="0017502C"/>
    <w:rsid w:val="0018143F"/>
    <w:rsid w:val="00181FF8"/>
    <w:rsid w:val="00186748"/>
    <w:rsid w:val="00187D94"/>
    <w:rsid w:val="00190AC1"/>
    <w:rsid w:val="00192FE7"/>
    <w:rsid w:val="0019341A"/>
    <w:rsid w:val="00194407"/>
    <w:rsid w:val="001944C9"/>
    <w:rsid w:val="00197DF9"/>
    <w:rsid w:val="001A0BD1"/>
    <w:rsid w:val="001A1987"/>
    <w:rsid w:val="001A2564"/>
    <w:rsid w:val="001A29D8"/>
    <w:rsid w:val="001A3EE1"/>
    <w:rsid w:val="001A4E29"/>
    <w:rsid w:val="001A6173"/>
    <w:rsid w:val="001A6661"/>
    <w:rsid w:val="001A6CBA"/>
    <w:rsid w:val="001A6D1C"/>
    <w:rsid w:val="001B0A00"/>
    <w:rsid w:val="001B0D97"/>
    <w:rsid w:val="001B44EF"/>
    <w:rsid w:val="001B5A5D"/>
    <w:rsid w:val="001B6CDE"/>
    <w:rsid w:val="001B782C"/>
    <w:rsid w:val="001C058B"/>
    <w:rsid w:val="001C174A"/>
    <w:rsid w:val="001C1CE5"/>
    <w:rsid w:val="001C3A4C"/>
    <w:rsid w:val="001C3D2A"/>
    <w:rsid w:val="001C48F4"/>
    <w:rsid w:val="001C50F2"/>
    <w:rsid w:val="001C7DAA"/>
    <w:rsid w:val="001D0759"/>
    <w:rsid w:val="001D16C5"/>
    <w:rsid w:val="001D51BA"/>
    <w:rsid w:val="001D53E7"/>
    <w:rsid w:val="001D6342"/>
    <w:rsid w:val="001D6D53"/>
    <w:rsid w:val="001E1CC7"/>
    <w:rsid w:val="001E1F63"/>
    <w:rsid w:val="001E3535"/>
    <w:rsid w:val="001E58E2"/>
    <w:rsid w:val="001E7AED"/>
    <w:rsid w:val="001F03E8"/>
    <w:rsid w:val="001F1114"/>
    <w:rsid w:val="001F3916"/>
    <w:rsid w:val="001F3FBA"/>
    <w:rsid w:val="001F45BD"/>
    <w:rsid w:val="001F5360"/>
    <w:rsid w:val="001F54C5"/>
    <w:rsid w:val="001F5693"/>
    <w:rsid w:val="001F662C"/>
    <w:rsid w:val="001F7074"/>
    <w:rsid w:val="001F7298"/>
    <w:rsid w:val="00200490"/>
    <w:rsid w:val="00201B4F"/>
    <w:rsid w:val="00201F3A"/>
    <w:rsid w:val="00203F96"/>
    <w:rsid w:val="00204F3E"/>
    <w:rsid w:val="00205DDB"/>
    <w:rsid w:val="002069B2"/>
    <w:rsid w:val="00206DA4"/>
    <w:rsid w:val="00207FA3"/>
    <w:rsid w:val="002146DB"/>
    <w:rsid w:val="00214DA8"/>
    <w:rsid w:val="00215423"/>
    <w:rsid w:val="002158FA"/>
    <w:rsid w:val="00220600"/>
    <w:rsid w:val="00220891"/>
    <w:rsid w:val="002224DB"/>
    <w:rsid w:val="002229BF"/>
    <w:rsid w:val="00222E71"/>
    <w:rsid w:val="00223FCB"/>
    <w:rsid w:val="00224C31"/>
    <w:rsid w:val="002252C3"/>
    <w:rsid w:val="00225C54"/>
    <w:rsid w:val="002270B8"/>
    <w:rsid w:val="0022779F"/>
    <w:rsid w:val="00230765"/>
    <w:rsid w:val="00230D18"/>
    <w:rsid w:val="002319E4"/>
    <w:rsid w:val="002336DC"/>
    <w:rsid w:val="002354CD"/>
    <w:rsid w:val="00235632"/>
    <w:rsid w:val="00235872"/>
    <w:rsid w:val="00241559"/>
    <w:rsid w:val="0024170C"/>
    <w:rsid w:val="00242E09"/>
    <w:rsid w:val="002435B3"/>
    <w:rsid w:val="00244FD4"/>
    <w:rsid w:val="002458EB"/>
    <w:rsid w:val="00247F60"/>
    <w:rsid w:val="0025000E"/>
    <w:rsid w:val="002500C8"/>
    <w:rsid w:val="00251547"/>
    <w:rsid w:val="00256F69"/>
    <w:rsid w:val="00257543"/>
    <w:rsid w:val="002617E7"/>
    <w:rsid w:val="00264228"/>
    <w:rsid w:val="00264334"/>
    <w:rsid w:val="0026473E"/>
    <w:rsid w:val="00266214"/>
    <w:rsid w:val="002671DF"/>
    <w:rsid w:val="00267C83"/>
    <w:rsid w:val="00270D6A"/>
    <w:rsid w:val="0027144F"/>
    <w:rsid w:val="00271813"/>
    <w:rsid w:val="00271F3A"/>
    <w:rsid w:val="00273278"/>
    <w:rsid w:val="002737F4"/>
    <w:rsid w:val="00273A81"/>
    <w:rsid w:val="002805F5"/>
    <w:rsid w:val="00280751"/>
    <w:rsid w:val="0028280A"/>
    <w:rsid w:val="00282AD1"/>
    <w:rsid w:val="00286A97"/>
    <w:rsid w:val="00286ACD"/>
    <w:rsid w:val="00287838"/>
    <w:rsid w:val="002907B5"/>
    <w:rsid w:val="00292EB7"/>
    <w:rsid w:val="00295BC4"/>
    <w:rsid w:val="00296227"/>
    <w:rsid w:val="00296F44"/>
    <w:rsid w:val="002975D1"/>
    <w:rsid w:val="00297696"/>
    <w:rsid w:val="0029777D"/>
    <w:rsid w:val="00297E72"/>
    <w:rsid w:val="002A055E"/>
    <w:rsid w:val="002A1D4E"/>
    <w:rsid w:val="002A248E"/>
    <w:rsid w:val="002A2869"/>
    <w:rsid w:val="002A501D"/>
    <w:rsid w:val="002A5CCB"/>
    <w:rsid w:val="002A664B"/>
    <w:rsid w:val="002A7AC9"/>
    <w:rsid w:val="002B2065"/>
    <w:rsid w:val="002B24D6"/>
    <w:rsid w:val="002C2261"/>
    <w:rsid w:val="002C3DEC"/>
    <w:rsid w:val="002C41E6"/>
    <w:rsid w:val="002C74CB"/>
    <w:rsid w:val="002D071A"/>
    <w:rsid w:val="002D0D2B"/>
    <w:rsid w:val="002D169B"/>
    <w:rsid w:val="002D194F"/>
    <w:rsid w:val="002D21AC"/>
    <w:rsid w:val="002D310A"/>
    <w:rsid w:val="002D34B2"/>
    <w:rsid w:val="002D48B0"/>
    <w:rsid w:val="002D5B37"/>
    <w:rsid w:val="002D7637"/>
    <w:rsid w:val="002E17F2"/>
    <w:rsid w:val="002E3743"/>
    <w:rsid w:val="002E7CAE"/>
    <w:rsid w:val="002F1AC5"/>
    <w:rsid w:val="002F2771"/>
    <w:rsid w:val="002F37A9"/>
    <w:rsid w:val="00301CE6"/>
    <w:rsid w:val="0030256B"/>
    <w:rsid w:val="003045A1"/>
    <w:rsid w:val="0030501F"/>
    <w:rsid w:val="00306DC9"/>
    <w:rsid w:val="00307902"/>
    <w:rsid w:val="00307BA1"/>
    <w:rsid w:val="00310BCD"/>
    <w:rsid w:val="0031163B"/>
    <w:rsid w:val="00311702"/>
    <w:rsid w:val="00311E82"/>
    <w:rsid w:val="00313FD6"/>
    <w:rsid w:val="003143BD"/>
    <w:rsid w:val="00315363"/>
    <w:rsid w:val="00316007"/>
    <w:rsid w:val="003171EF"/>
    <w:rsid w:val="003172F9"/>
    <w:rsid w:val="00317D83"/>
    <w:rsid w:val="0032037C"/>
    <w:rsid w:val="003203ED"/>
    <w:rsid w:val="003205F8"/>
    <w:rsid w:val="00322C9F"/>
    <w:rsid w:val="00324D23"/>
    <w:rsid w:val="003254EE"/>
    <w:rsid w:val="00325ACB"/>
    <w:rsid w:val="00326151"/>
    <w:rsid w:val="00331751"/>
    <w:rsid w:val="003344A5"/>
    <w:rsid w:val="00334579"/>
    <w:rsid w:val="00334AAF"/>
    <w:rsid w:val="00335858"/>
    <w:rsid w:val="00335977"/>
    <w:rsid w:val="0033601B"/>
    <w:rsid w:val="00336559"/>
    <w:rsid w:val="00336BDA"/>
    <w:rsid w:val="003378D6"/>
    <w:rsid w:val="00340D7D"/>
    <w:rsid w:val="00341B30"/>
    <w:rsid w:val="00342BD7"/>
    <w:rsid w:val="003458BD"/>
    <w:rsid w:val="00346DB5"/>
    <w:rsid w:val="003477B1"/>
    <w:rsid w:val="00350D57"/>
    <w:rsid w:val="00353870"/>
    <w:rsid w:val="00356DB7"/>
    <w:rsid w:val="00356EB5"/>
    <w:rsid w:val="00357380"/>
    <w:rsid w:val="003602D9"/>
    <w:rsid w:val="003604CE"/>
    <w:rsid w:val="003604DC"/>
    <w:rsid w:val="00362810"/>
    <w:rsid w:val="0036318E"/>
    <w:rsid w:val="00363652"/>
    <w:rsid w:val="00370E47"/>
    <w:rsid w:val="00371680"/>
    <w:rsid w:val="003732D2"/>
    <w:rsid w:val="003742AC"/>
    <w:rsid w:val="00375B72"/>
    <w:rsid w:val="00376F51"/>
    <w:rsid w:val="00377CE1"/>
    <w:rsid w:val="00380E54"/>
    <w:rsid w:val="00384B5A"/>
    <w:rsid w:val="00385BF0"/>
    <w:rsid w:val="003925BB"/>
    <w:rsid w:val="00392A64"/>
    <w:rsid w:val="003939FF"/>
    <w:rsid w:val="00396DD2"/>
    <w:rsid w:val="003978FE"/>
    <w:rsid w:val="003A2223"/>
    <w:rsid w:val="003A2A0F"/>
    <w:rsid w:val="003A45A1"/>
    <w:rsid w:val="003A5B0A"/>
    <w:rsid w:val="003A6BAC"/>
    <w:rsid w:val="003A70A4"/>
    <w:rsid w:val="003A7EF3"/>
    <w:rsid w:val="003B159C"/>
    <w:rsid w:val="003B170A"/>
    <w:rsid w:val="003B1A75"/>
    <w:rsid w:val="003B369F"/>
    <w:rsid w:val="003B36A3"/>
    <w:rsid w:val="003B446F"/>
    <w:rsid w:val="003B483B"/>
    <w:rsid w:val="003B554B"/>
    <w:rsid w:val="003B5E57"/>
    <w:rsid w:val="003B64BB"/>
    <w:rsid w:val="003B7CCA"/>
    <w:rsid w:val="003B7FE5"/>
    <w:rsid w:val="003C11C8"/>
    <w:rsid w:val="003C20FD"/>
    <w:rsid w:val="003C2702"/>
    <w:rsid w:val="003C5873"/>
    <w:rsid w:val="003C6672"/>
    <w:rsid w:val="003C6E66"/>
    <w:rsid w:val="003C7806"/>
    <w:rsid w:val="003D109F"/>
    <w:rsid w:val="003D1366"/>
    <w:rsid w:val="003D2478"/>
    <w:rsid w:val="003D3C45"/>
    <w:rsid w:val="003D453E"/>
    <w:rsid w:val="003D5B1F"/>
    <w:rsid w:val="003E15FA"/>
    <w:rsid w:val="003E3891"/>
    <w:rsid w:val="003E459D"/>
    <w:rsid w:val="003E4AE4"/>
    <w:rsid w:val="003E55E4"/>
    <w:rsid w:val="003E575E"/>
    <w:rsid w:val="003E65CE"/>
    <w:rsid w:val="003E74E3"/>
    <w:rsid w:val="003E7808"/>
    <w:rsid w:val="003E7C5D"/>
    <w:rsid w:val="003F05C7"/>
    <w:rsid w:val="003F2CD4"/>
    <w:rsid w:val="003F31CB"/>
    <w:rsid w:val="003F4D8F"/>
    <w:rsid w:val="003F6BBE"/>
    <w:rsid w:val="004000E8"/>
    <w:rsid w:val="00400F40"/>
    <w:rsid w:val="00402E2B"/>
    <w:rsid w:val="0040512B"/>
    <w:rsid w:val="00405CA5"/>
    <w:rsid w:val="00407A4E"/>
    <w:rsid w:val="00407CD3"/>
    <w:rsid w:val="00410134"/>
    <w:rsid w:val="00410753"/>
    <w:rsid w:val="00410B72"/>
    <w:rsid w:val="00410F18"/>
    <w:rsid w:val="004110E4"/>
    <w:rsid w:val="00411AE6"/>
    <w:rsid w:val="0041263E"/>
    <w:rsid w:val="00413AAC"/>
    <w:rsid w:val="00413E92"/>
    <w:rsid w:val="004147C2"/>
    <w:rsid w:val="00416D7F"/>
    <w:rsid w:val="00421105"/>
    <w:rsid w:val="00422AA4"/>
    <w:rsid w:val="004242F4"/>
    <w:rsid w:val="004245D5"/>
    <w:rsid w:val="00427248"/>
    <w:rsid w:val="00427F49"/>
    <w:rsid w:val="004316F0"/>
    <w:rsid w:val="00431BD2"/>
    <w:rsid w:val="00432ADD"/>
    <w:rsid w:val="00433D58"/>
    <w:rsid w:val="00436390"/>
    <w:rsid w:val="00437062"/>
    <w:rsid w:val="00437447"/>
    <w:rsid w:val="00437E47"/>
    <w:rsid w:val="0044194D"/>
    <w:rsid w:val="00441A92"/>
    <w:rsid w:val="00442B41"/>
    <w:rsid w:val="004431DC"/>
    <w:rsid w:val="00444AD7"/>
    <w:rsid w:val="00444F56"/>
    <w:rsid w:val="00446488"/>
    <w:rsid w:val="004517AA"/>
    <w:rsid w:val="00452CAC"/>
    <w:rsid w:val="0045652E"/>
    <w:rsid w:val="00457565"/>
    <w:rsid w:val="00457B71"/>
    <w:rsid w:val="00463073"/>
    <w:rsid w:val="00465228"/>
    <w:rsid w:val="004669E2"/>
    <w:rsid w:val="00466C27"/>
    <w:rsid w:val="00470C31"/>
    <w:rsid w:val="00471DE0"/>
    <w:rsid w:val="004734D0"/>
    <w:rsid w:val="00473D02"/>
    <w:rsid w:val="00475477"/>
    <w:rsid w:val="0047556B"/>
    <w:rsid w:val="00477768"/>
    <w:rsid w:val="004807BA"/>
    <w:rsid w:val="00486721"/>
    <w:rsid w:val="00487A0B"/>
    <w:rsid w:val="00492BC5"/>
    <w:rsid w:val="0049414D"/>
    <w:rsid w:val="004964F1"/>
    <w:rsid w:val="00497BE3"/>
    <w:rsid w:val="004A16BC"/>
    <w:rsid w:val="004A1EA8"/>
    <w:rsid w:val="004A21C3"/>
    <w:rsid w:val="004A2B94"/>
    <w:rsid w:val="004A2F02"/>
    <w:rsid w:val="004A3E9A"/>
    <w:rsid w:val="004A5009"/>
    <w:rsid w:val="004A5561"/>
    <w:rsid w:val="004B12BD"/>
    <w:rsid w:val="004B30C9"/>
    <w:rsid w:val="004B4E8A"/>
    <w:rsid w:val="004B5279"/>
    <w:rsid w:val="004B5396"/>
    <w:rsid w:val="004B5C09"/>
    <w:rsid w:val="004B6F6A"/>
    <w:rsid w:val="004B7C0C"/>
    <w:rsid w:val="004C3898"/>
    <w:rsid w:val="004C5859"/>
    <w:rsid w:val="004C77F7"/>
    <w:rsid w:val="004D36B1"/>
    <w:rsid w:val="004D42A7"/>
    <w:rsid w:val="004D7EBD"/>
    <w:rsid w:val="004E2123"/>
    <w:rsid w:val="004E2680"/>
    <w:rsid w:val="004E28F9"/>
    <w:rsid w:val="004E3868"/>
    <w:rsid w:val="004E462E"/>
    <w:rsid w:val="004E56DC"/>
    <w:rsid w:val="004E6518"/>
    <w:rsid w:val="004E7317"/>
    <w:rsid w:val="004E7415"/>
    <w:rsid w:val="004E76F4"/>
    <w:rsid w:val="004F0B4E"/>
    <w:rsid w:val="004F0B6C"/>
    <w:rsid w:val="004F0C4C"/>
    <w:rsid w:val="004F2078"/>
    <w:rsid w:val="004F329B"/>
    <w:rsid w:val="004F33D9"/>
    <w:rsid w:val="004F39E8"/>
    <w:rsid w:val="004F4DA3"/>
    <w:rsid w:val="00500423"/>
    <w:rsid w:val="0050352E"/>
    <w:rsid w:val="00506557"/>
    <w:rsid w:val="0050677A"/>
    <w:rsid w:val="00506949"/>
    <w:rsid w:val="005108D8"/>
    <w:rsid w:val="005108FE"/>
    <w:rsid w:val="00511503"/>
    <w:rsid w:val="005116F9"/>
    <w:rsid w:val="00511BBB"/>
    <w:rsid w:val="00513907"/>
    <w:rsid w:val="005153A7"/>
    <w:rsid w:val="00515B03"/>
    <w:rsid w:val="005219CF"/>
    <w:rsid w:val="00522700"/>
    <w:rsid w:val="005240F7"/>
    <w:rsid w:val="00527DED"/>
    <w:rsid w:val="00534B59"/>
    <w:rsid w:val="00536759"/>
    <w:rsid w:val="00537C62"/>
    <w:rsid w:val="00541032"/>
    <w:rsid w:val="005422F6"/>
    <w:rsid w:val="00543732"/>
    <w:rsid w:val="005444AA"/>
    <w:rsid w:val="005445A9"/>
    <w:rsid w:val="00546970"/>
    <w:rsid w:val="005469B1"/>
    <w:rsid w:val="00554E19"/>
    <w:rsid w:val="00555FE1"/>
    <w:rsid w:val="00556C9A"/>
    <w:rsid w:val="0056121F"/>
    <w:rsid w:val="00562C0D"/>
    <w:rsid w:val="005640C9"/>
    <w:rsid w:val="00570F84"/>
    <w:rsid w:val="00572505"/>
    <w:rsid w:val="00572576"/>
    <w:rsid w:val="005733EF"/>
    <w:rsid w:val="00574D5A"/>
    <w:rsid w:val="0057608C"/>
    <w:rsid w:val="00580B7F"/>
    <w:rsid w:val="00581DFB"/>
    <w:rsid w:val="00582809"/>
    <w:rsid w:val="00585CCA"/>
    <w:rsid w:val="00586937"/>
    <w:rsid w:val="0058798C"/>
    <w:rsid w:val="005900FA"/>
    <w:rsid w:val="005935A4"/>
    <w:rsid w:val="005948C2"/>
    <w:rsid w:val="00595254"/>
    <w:rsid w:val="0059527A"/>
    <w:rsid w:val="00595DCA"/>
    <w:rsid w:val="00597159"/>
    <w:rsid w:val="0059779B"/>
    <w:rsid w:val="005A209A"/>
    <w:rsid w:val="005A5542"/>
    <w:rsid w:val="005A662D"/>
    <w:rsid w:val="005B0BA4"/>
    <w:rsid w:val="005B1409"/>
    <w:rsid w:val="005B30EA"/>
    <w:rsid w:val="005B35D7"/>
    <w:rsid w:val="005B392A"/>
    <w:rsid w:val="005B3AA3"/>
    <w:rsid w:val="005B6F83"/>
    <w:rsid w:val="005C17FA"/>
    <w:rsid w:val="005C2FE2"/>
    <w:rsid w:val="005C6040"/>
    <w:rsid w:val="005C74FB"/>
    <w:rsid w:val="005D1602"/>
    <w:rsid w:val="005D2A57"/>
    <w:rsid w:val="005D3F56"/>
    <w:rsid w:val="005E2E9B"/>
    <w:rsid w:val="005E35FC"/>
    <w:rsid w:val="005E385F"/>
    <w:rsid w:val="005E5B81"/>
    <w:rsid w:val="005E77E4"/>
    <w:rsid w:val="005E7DC7"/>
    <w:rsid w:val="005F2CB1"/>
    <w:rsid w:val="005F3025"/>
    <w:rsid w:val="005F618C"/>
    <w:rsid w:val="005F645F"/>
    <w:rsid w:val="005F6DCE"/>
    <w:rsid w:val="005F70BD"/>
    <w:rsid w:val="005F7ACD"/>
    <w:rsid w:val="00600D71"/>
    <w:rsid w:val="00601B22"/>
    <w:rsid w:val="006025B7"/>
    <w:rsid w:val="0060283C"/>
    <w:rsid w:val="006045CF"/>
    <w:rsid w:val="00604F14"/>
    <w:rsid w:val="00605F07"/>
    <w:rsid w:val="00611B83"/>
    <w:rsid w:val="00612185"/>
    <w:rsid w:val="006131A1"/>
    <w:rsid w:val="00613257"/>
    <w:rsid w:val="006137BD"/>
    <w:rsid w:val="006160BF"/>
    <w:rsid w:val="00617021"/>
    <w:rsid w:val="00617A9A"/>
    <w:rsid w:val="00620A71"/>
    <w:rsid w:val="00620D80"/>
    <w:rsid w:val="0062280E"/>
    <w:rsid w:val="00623290"/>
    <w:rsid w:val="006234A6"/>
    <w:rsid w:val="00630001"/>
    <w:rsid w:val="00630197"/>
    <w:rsid w:val="00630722"/>
    <w:rsid w:val="00630771"/>
    <w:rsid w:val="006311B3"/>
    <w:rsid w:val="0063284C"/>
    <w:rsid w:val="006338EC"/>
    <w:rsid w:val="006341D0"/>
    <w:rsid w:val="00635D3E"/>
    <w:rsid w:val="00636398"/>
    <w:rsid w:val="006368D3"/>
    <w:rsid w:val="00636F09"/>
    <w:rsid w:val="006377EC"/>
    <w:rsid w:val="00641226"/>
    <w:rsid w:val="0064136D"/>
    <w:rsid w:val="0064151F"/>
    <w:rsid w:val="00641533"/>
    <w:rsid w:val="00641FDB"/>
    <w:rsid w:val="0064208D"/>
    <w:rsid w:val="00643475"/>
    <w:rsid w:val="0064396A"/>
    <w:rsid w:val="00645CF1"/>
    <w:rsid w:val="00645DEF"/>
    <w:rsid w:val="0064624E"/>
    <w:rsid w:val="00647AAE"/>
    <w:rsid w:val="00650789"/>
    <w:rsid w:val="00650AB9"/>
    <w:rsid w:val="00650BC5"/>
    <w:rsid w:val="00652BD6"/>
    <w:rsid w:val="00655733"/>
    <w:rsid w:val="00655ACD"/>
    <w:rsid w:val="00656A92"/>
    <w:rsid w:val="00656DDE"/>
    <w:rsid w:val="0066011D"/>
    <w:rsid w:val="006607C0"/>
    <w:rsid w:val="006613A6"/>
    <w:rsid w:val="006616AB"/>
    <w:rsid w:val="006622B8"/>
    <w:rsid w:val="006627A2"/>
    <w:rsid w:val="006634E6"/>
    <w:rsid w:val="00663E0E"/>
    <w:rsid w:val="006655EE"/>
    <w:rsid w:val="00667D4D"/>
    <w:rsid w:val="00667EE7"/>
    <w:rsid w:val="00670922"/>
    <w:rsid w:val="00670BE1"/>
    <w:rsid w:val="0067218F"/>
    <w:rsid w:val="006737FB"/>
    <w:rsid w:val="006741F2"/>
    <w:rsid w:val="00674CC3"/>
    <w:rsid w:val="0067575F"/>
    <w:rsid w:val="00675C72"/>
    <w:rsid w:val="006771F9"/>
    <w:rsid w:val="006776D7"/>
    <w:rsid w:val="00681003"/>
    <w:rsid w:val="006817C9"/>
    <w:rsid w:val="00683ECE"/>
    <w:rsid w:val="00684490"/>
    <w:rsid w:val="0068719F"/>
    <w:rsid w:val="00690F48"/>
    <w:rsid w:val="00695B42"/>
    <w:rsid w:val="00695FC2"/>
    <w:rsid w:val="00696949"/>
    <w:rsid w:val="00697052"/>
    <w:rsid w:val="00697650"/>
    <w:rsid w:val="006A0C3F"/>
    <w:rsid w:val="006A1778"/>
    <w:rsid w:val="006A1EB1"/>
    <w:rsid w:val="006A46FB"/>
    <w:rsid w:val="006A5E28"/>
    <w:rsid w:val="006A6237"/>
    <w:rsid w:val="006A697B"/>
    <w:rsid w:val="006A70F2"/>
    <w:rsid w:val="006A7AFF"/>
    <w:rsid w:val="006B113F"/>
    <w:rsid w:val="006B1816"/>
    <w:rsid w:val="006B2099"/>
    <w:rsid w:val="006B4047"/>
    <w:rsid w:val="006B50CF"/>
    <w:rsid w:val="006B6667"/>
    <w:rsid w:val="006C03B8"/>
    <w:rsid w:val="006C35A6"/>
    <w:rsid w:val="006C3C7B"/>
    <w:rsid w:val="006C5EC9"/>
    <w:rsid w:val="006C5F1D"/>
    <w:rsid w:val="006C6059"/>
    <w:rsid w:val="006C7522"/>
    <w:rsid w:val="006D1857"/>
    <w:rsid w:val="006D26C1"/>
    <w:rsid w:val="006D5745"/>
    <w:rsid w:val="006D6F08"/>
    <w:rsid w:val="006D74D6"/>
    <w:rsid w:val="006E062C"/>
    <w:rsid w:val="006E105A"/>
    <w:rsid w:val="006E1C82"/>
    <w:rsid w:val="006E28B7"/>
    <w:rsid w:val="006E2A9B"/>
    <w:rsid w:val="006E2E92"/>
    <w:rsid w:val="006E3310"/>
    <w:rsid w:val="006E3852"/>
    <w:rsid w:val="006E3AC2"/>
    <w:rsid w:val="006E4E39"/>
    <w:rsid w:val="006E565E"/>
    <w:rsid w:val="006E61BD"/>
    <w:rsid w:val="006E673D"/>
    <w:rsid w:val="006E7D3B"/>
    <w:rsid w:val="006F1B70"/>
    <w:rsid w:val="006F2DF0"/>
    <w:rsid w:val="006F341D"/>
    <w:rsid w:val="006F3CDE"/>
    <w:rsid w:val="006F51BF"/>
    <w:rsid w:val="006F58D4"/>
    <w:rsid w:val="006F6582"/>
    <w:rsid w:val="006F6E19"/>
    <w:rsid w:val="006F7FBD"/>
    <w:rsid w:val="00701ED2"/>
    <w:rsid w:val="007021D0"/>
    <w:rsid w:val="0070334B"/>
    <w:rsid w:val="0070346E"/>
    <w:rsid w:val="00704458"/>
    <w:rsid w:val="00704EDB"/>
    <w:rsid w:val="00706101"/>
    <w:rsid w:val="00706C3F"/>
    <w:rsid w:val="00707072"/>
    <w:rsid w:val="007079B4"/>
    <w:rsid w:val="00707D61"/>
    <w:rsid w:val="007113DE"/>
    <w:rsid w:val="007118C0"/>
    <w:rsid w:val="00711C5D"/>
    <w:rsid w:val="00712287"/>
    <w:rsid w:val="00712772"/>
    <w:rsid w:val="007148D3"/>
    <w:rsid w:val="00715B9A"/>
    <w:rsid w:val="007166A4"/>
    <w:rsid w:val="0071691D"/>
    <w:rsid w:val="00717F83"/>
    <w:rsid w:val="007207BA"/>
    <w:rsid w:val="00721AD8"/>
    <w:rsid w:val="0072346B"/>
    <w:rsid w:val="007257D0"/>
    <w:rsid w:val="00726EA6"/>
    <w:rsid w:val="00727208"/>
    <w:rsid w:val="00727680"/>
    <w:rsid w:val="00732EFF"/>
    <w:rsid w:val="0073391D"/>
    <w:rsid w:val="007348B1"/>
    <w:rsid w:val="00734AAB"/>
    <w:rsid w:val="00735554"/>
    <w:rsid w:val="007362A6"/>
    <w:rsid w:val="00736D7D"/>
    <w:rsid w:val="00740E58"/>
    <w:rsid w:val="007415FC"/>
    <w:rsid w:val="0074350C"/>
    <w:rsid w:val="007445A0"/>
    <w:rsid w:val="0074524B"/>
    <w:rsid w:val="0074762F"/>
    <w:rsid w:val="00747C17"/>
    <w:rsid w:val="00747D8B"/>
    <w:rsid w:val="00750861"/>
    <w:rsid w:val="00751228"/>
    <w:rsid w:val="007528F7"/>
    <w:rsid w:val="00753005"/>
    <w:rsid w:val="00754F5D"/>
    <w:rsid w:val="007571E1"/>
    <w:rsid w:val="00757A16"/>
    <w:rsid w:val="00757E64"/>
    <w:rsid w:val="007604B2"/>
    <w:rsid w:val="007614FD"/>
    <w:rsid w:val="00761CF8"/>
    <w:rsid w:val="00764620"/>
    <w:rsid w:val="00765281"/>
    <w:rsid w:val="00765349"/>
    <w:rsid w:val="00765E1F"/>
    <w:rsid w:val="00766BAD"/>
    <w:rsid w:val="00767AB4"/>
    <w:rsid w:val="00770C15"/>
    <w:rsid w:val="007729A2"/>
    <w:rsid w:val="0077308A"/>
    <w:rsid w:val="007740F3"/>
    <w:rsid w:val="00774DC9"/>
    <w:rsid w:val="007755F2"/>
    <w:rsid w:val="00776971"/>
    <w:rsid w:val="00780A80"/>
    <w:rsid w:val="00781729"/>
    <w:rsid w:val="0078177E"/>
    <w:rsid w:val="00781A62"/>
    <w:rsid w:val="0078304C"/>
    <w:rsid w:val="00783673"/>
    <w:rsid w:val="007840DA"/>
    <w:rsid w:val="0078497B"/>
    <w:rsid w:val="00784C75"/>
    <w:rsid w:val="007853A5"/>
    <w:rsid w:val="00785490"/>
    <w:rsid w:val="00785C8F"/>
    <w:rsid w:val="00786948"/>
    <w:rsid w:val="00787B4A"/>
    <w:rsid w:val="00790F5C"/>
    <w:rsid w:val="00791415"/>
    <w:rsid w:val="007925EA"/>
    <w:rsid w:val="00792B27"/>
    <w:rsid w:val="00793980"/>
    <w:rsid w:val="00793CD8"/>
    <w:rsid w:val="00795C92"/>
    <w:rsid w:val="00796231"/>
    <w:rsid w:val="007A1CB3"/>
    <w:rsid w:val="007A306F"/>
    <w:rsid w:val="007A43A6"/>
    <w:rsid w:val="007A58A6"/>
    <w:rsid w:val="007A6A39"/>
    <w:rsid w:val="007B0091"/>
    <w:rsid w:val="007B21C5"/>
    <w:rsid w:val="007B3D2D"/>
    <w:rsid w:val="007B4187"/>
    <w:rsid w:val="007B50AE"/>
    <w:rsid w:val="007B51DF"/>
    <w:rsid w:val="007C05DD"/>
    <w:rsid w:val="007C126D"/>
    <w:rsid w:val="007C2FD3"/>
    <w:rsid w:val="007C3D18"/>
    <w:rsid w:val="007C5712"/>
    <w:rsid w:val="007C60BF"/>
    <w:rsid w:val="007C6A07"/>
    <w:rsid w:val="007C75A1"/>
    <w:rsid w:val="007C77A5"/>
    <w:rsid w:val="007D04E5"/>
    <w:rsid w:val="007D1D7E"/>
    <w:rsid w:val="007D2CF6"/>
    <w:rsid w:val="007D43F7"/>
    <w:rsid w:val="007D5901"/>
    <w:rsid w:val="007D604D"/>
    <w:rsid w:val="007D7526"/>
    <w:rsid w:val="007D7629"/>
    <w:rsid w:val="007D7E01"/>
    <w:rsid w:val="007E4610"/>
    <w:rsid w:val="007E4715"/>
    <w:rsid w:val="007E505B"/>
    <w:rsid w:val="007E7091"/>
    <w:rsid w:val="007F0AAA"/>
    <w:rsid w:val="007F186E"/>
    <w:rsid w:val="007F424C"/>
    <w:rsid w:val="007F65B0"/>
    <w:rsid w:val="007F7D8F"/>
    <w:rsid w:val="00800DCB"/>
    <w:rsid w:val="00801F31"/>
    <w:rsid w:val="00803D63"/>
    <w:rsid w:val="00803FAE"/>
    <w:rsid w:val="0080605F"/>
    <w:rsid w:val="00807786"/>
    <w:rsid w:val="00811FCB"/>
    <w:rsid w:val="0081319F"/>
    <w:rsid w:val="00814402"/>
    <w:rsid w:val="008158D6"/>
    <w:rsid w:val="00817196"/>
    <w:rsid w:val="00821B88"/>
    <w:rsid w:val="00821C00"/>
    <w:rsid w:val="00821D94"/>
    <w:rsid w:val="008235DB"/>
    <w:rsid w:val="00824AB4"/>
    <w:rsid w:val="00825C42"/>
    <w:rsid w:val="00825D25"/>
    <w:rsid w:val="00826C10"/>
    <w:rsid w:val="00827D6F"/>
    <w:rsid w:val="008329A0"/>
    <w:rsid w:val="008338F0"/>
    <w:rsid w:val="00833EAD"/>
    <w:rsid w:val="008376AC"/>
    <w:rsid w:val="008376F8"/>
    <w:rsid w:val="00840992"/>
    <w:rsid w:val="00840B29"/>
    <w:rsid w:val="008444E8"/>
    <w:rsid w:val="00844D40"/>
    <w:rsid w:val="00844E80"/>
    <w:rsid w:val="00845ADE"/>
    <w:rsid w:val="00845FE7"/>
    <w:rsid w:val="00846FE7"/>
    <w:rsid w:val="00850550"/>
    <w:rsid w:val="00851753"/>
    <w:rsid w:val="00851C22"/>
    <w:rsid w:val="00852C9A"/>
    <w:rsid w:val="00856911"/>
    <w:rsid w:val="00857654"/>
    <w:rsid w:val="008611B8"/>
    <w:rsid w:val="00861280"/>
    <w:rsid w:val="00861A14"/>
    <w:rsid w:val="0086438E"/>
    <w:rsid w:val="00865B4E"/>
    <w:rsid w:val="00865CE3"/>
    <w:rsid w:val="008677FD"/>
    <w:rsid w:val="00867933"/>
    <w:rsid w:val="008706D4"/>
    <w:rsid w:val="00870C16"/>
    <w:rsid w:val="00870F8A"/>
    <w:rsid w:val="008719A4"/>
    <w:rsid w:val="00871D23"/>
    <w:rsid w:val="00873D32"/>
    <w:rsid w:val="00873E42"/>
    <w:rsid w:val="00874312"/>
    <w:rsid w:val="0087437C"/>
    <w:rsid w:val="00875CD7"/>
    <w:rsid w:val="0087681F"/>
    <w:rsid w:val="00876B4D"/>
    <w:rsid w:val="00877F18"/>
    <w:rsid w:val="008813DE"/>
    <w:rsid w:val="00882052"/>
    <w:rsid w:val="008834FB"/>
    <w:rsid w:val="00892371"/>
    <w:rsid w:val="0089259A"/>
    <w:rsid w:val="008935F6"/>
    <w:rsid w:val="008941E3"/>
    <w:rsid w:val="00894A88"/>
    <w:rsid w:val="00894F58"/>
    <w:rsid w:val="00895386"/>
    <w:rsid w:val="008A21FF"/>
    <w:rsid w:val="008A28F8"/>
    <w:rsid w:val="008A2C2E"/>
    <w:rsid w:val="008A2CE2"/>
    <w:rsid w:val="008A30AC"/>
    <w:rsid w:val="008A3F7E"/>
    <w:rsid w:val="008A44B8"/>
    <w:rsid w:val="008A51A8"/>
    <w:rsid w:val="008A54C7"/>
    <w:rsid w:val="008A77D8"/>
    <w:rsid w:val="008B0483"/>
    <w:rsid w:val="008B120C"/>
    <w:rsid w:val="008B3ADC"/>
    <w:rsid w:val="008B51A0"/>
    <w:rsid w:val="008B592A"/>
    <w:rsid w:val="008B7B5C"/>
    <w:rsid w:val="008B7C18"/>
    <w:rsid w:val="008C0C99"/>
    <w:rsid w:val="008C2017"/>
    <w:rsid w:val="008C428A"/>
    <w:rsid w:val="008C476A"/>
    <w:rsid w:val="008C4958"/>
    <w:rsid w:val="008C4BAA"/>
    <w:rsid w:val="008C61BF"/>
    <w:rsid w:val="008C6AA0"/>
    <w:rsid w:val="008C6AE8"/>
    <w:rsid w:val="008C7573"/>
    <w:rsid w:val="008D00A5"/>
    <w:rsid w:val="008D1FC7"/>
    <w:rsid w:val="008D2145"/>
    <w:rsid w:val="008D34F1"/>
    <w:rsid w:val="008D39D8"/>
    <w:rsid w:val="008D6D1A"/>
    <w:rsid w:val="008D7F8E"/>
    <w:rsid w:val="008E065E"/>
    <w:rsid w:val="008E0927"/>
    <w:rsid w:val="008E1909"/>
    <w:rsid w:val="008E6B2B"/>
    <w:rsid w:val="008F1EAB"/>
    <w:rsid w:val="008F33DC"/>
    <w:rsid w:val="008F3614"/>
    <w:rsid w:val="008F477F"/>
    <w:rsid w:val="00901CF9"/>
    <w:rsid w:val="00902350"/>
    <w:rsid w:val="00902E4A"/>
    <w:rsid w:val="0090336B"/>
    <w:rsid w:val="009046A2"/>
    <w:rsid w:val="00904F2D"/>
    <w:rsid w:val="009053AA"/>
    <w:rsid w:val="00906939"/>
    <w:rsid w:val="00906C6E"/>
    <w:rsid w:val="00910B7D"/>
    <w:rsid w:val="00911DFB"/>
    <w:rsid w:val="009139D9"/>
    <w:rsid w:val="00914AD8"/>
    <w:rsid w:val="00915324"/>
    <w:rsid w:val="00916079"/>
    <w:rsid w:val="00916BD2"/>
    <w:rsid w:val="009170BA"/>
    <w:rsid w:val="00917CE9"/>
    <w:rsid w:val="00920BF2"/>
    <w:rsid w:val="00922010"/>
    <w:rsid w:val="009255B4"/>
    <w:rsid w:val="00927DC9"/>
    <w:rsid w:val="00931BD9"/>
    <w:rsid w:val="009368F3"/>
    <w:rsid w:val="00941636"/>
    <w:rsid w:val="00941EED"/>
    <w:rsid w:val="009420E5"/>
    <w:rsid w:val="00943742"/>
    <w:rsid w:val="009452B8"/>
    <w:rsid w:val="00945C05"/>
    <w:rsid w:val="00946945"/>
    <w:rsid w:val="009469C5"/>
    <w:rsid w:val="009475C9"/>
    <w:rsid w:val="00947713"/>
    <w:rsid w:val="00950CC9"/>
    <w:rsid w:val="00950DE7"/>
    <w:rsid w:val="00953920"/>
    <w:rsid w:val="00953D47"/>
    <w:rsid w:val="0095681E"/>
    <w:rsid w:val="009572D4"/>
    <w:rsid w:val="00961921"/>
    <w:rsid w:val="0096430A"/>
    <w:rsid w:val="0096466F"/>
    <w:rsid w:val="0096554B"/>
    <w:rsid w:val="0096584A"/>
    <w:rsid w:val="00966555"/>
    <w:rsid w:val="00966D47"/>
    <w:rsid w:val="00971F08"/>
    <w:rsid w:val="00974A31"/>
    <w:rsid w:val="0097603D"/>
    <w:rsid w:val="009768A4"/>
    <w:rsid w:val="00976949"/>
    <w:rsid w:val="0097780F"/>
    <w:rsid w:val="00980477"/>
    <w:rsid w:val="009805B3"/>
    <w:rsid w:val="00985253"/>
    <w:rsid w:val="009853B3"/>
    <w:rsid w:val="009861EB"/>
    <w:rsid w:val="00986806"/>
    <w:rsid w:val="009879B4"/>
    <w:rsid w:val="00990630"/>
    <w:rsid w:val="00991761"/>
    <w:rsid w:val="00991790"/>
    <w:rsid w:val="00993F21"/>
    <w:rsid w:val="00994DCA"/>
    <w:rsid w:val="009960EC"/>
    <w:rsid w:val="009970DD"/>
    <w:rsid w:val="00997A78"/>
    <w:rsid w:val="009A0FBA"/>
    <w:rsid w:val="009A1601"/>
    <w:rsid w:val="009A24A2"/>
    <w:rsid w:val="009A2ECD"/>
    <w:rsid w:val="009A3BB6"/>
    <w:rsid w:val="009A462D"/>
    <w:rsid w:val="009A5CBA"/>
    <w:rsid w:val="009A62EB"/>
    <w:rsid w:val="009A6958"/>
    <w:rsid w:val="009B1F30"/>
    <w:rsid w:val="009B27E4"/>
    <w:rsid w:val="009B3AC2"/>
    <w:rsid w:val="009B4DF4"/>
    <w:rsid w:val="009B564E"/>
    <w:rsid w:val="009B58E5"/>
    <w:rsid w:val="009B5EFB"/>
    <w:rsid w:val="009B650C"/>
    <w:rsid w:val="009B6FB1"/>
    <w:rsid w:val="009B7E87"/>
    <w:rsid w:val="009C0169"/>
    <w:rsid w:val="009C062B"/>
    <w:rsid w:val="009C39EC"/>
    <w:rsid w:val="009C403E"/>
    <w:rsid w:val="009C54AB"/>
    <w:rsid w:val="009C5D3B"/>
    <w:rsid w:val="009D44AC"/>
    <w:rsid w:val="009D4FF0"/>
    <w:rsid w:val="009D6B6D"/>
    <w:rsid w:val="009D6F6E"/>
    <w:rsid w:val="009D703C"/>
    <w:rsid w:val="009D718F"/>
    <w:rsid w:val="009E068F"/>
    <w:rsid w:val="009E14E0"/>
    <w:rsid w:val="009E35DB"/>
    <w:rsid w:val="009E47A3"/>
    <w:rsid w:val="009E4EB6"/>
    <w:rsid w:val="009E5497"/>
    <w:rsid w:val="009F08F3"/>
    <w:rsid w:val="009F344F"/>
    <w:rsid w:val="009F3647"/>
    <w:rsid w:val="009F470F"/>
    <w:rsid w:val="009F63D5"/>
    <w:rsid w:val="009F6654"/>
    <w:rsid w:val="009F7031"/>
    <w:rsid w:val="00A031D8"/>
    <w:rsid w:val="00A03A9E"/>
    <w:rsid w:val="00A044DB"/>
    <w:rsid w:val="00A048A8"/>
    <w:rsid w:val="00A04F49"/>
    <w:rsid w:val="00A06023"/>
    <w:rsid w:val="00A063F2"/>
    <w:rsid w:val="00A123DA"/>
    <w:rsid w:val="00A13E54"/>
    <w:rsid w:val="00A14B99"/>
    <w:rsid w:val="00A17F63"/>
    <w:rsid w:val="00A2193B"/>
    <w:rsid w:val="00A21CDB"/>
    <w:rsid w:val="00A2351A"/>
    <w:rsid w:val="00A23ACE"/>
    <w:rsid w:val="00A2561F"/>
    <w:rsid w:val="00A26070"/>
    <w:rsid w:val="00A264A9"/>
    <w:rsid w:val="00A26DCF"/>
    <w:rsid w:val="00A26DD0"/>
    <w:rsid w:val="00A27785"/>
    <w:rsid w:val="00A30187"/>
    <w:rsid w:val="00A30F1D"/>
    <w:rsid w:val="00A31D67"/>
    <w:rsid w:val="00A321D1"/>
    <w:rsid w:val="00A34011"/>
    <w:rsid w:val="00A3448A"/>
    <w:rsid w:val="00A36297"/>
    <w:rsid w:val="00A36973"/>
    <w:rsid w:val="00A40ED7"/>
    <w:rsid w:val="00A41E2B"/>
    <w:rsid w:val="00A41F72"/>
    <w:rsid w:val="00A43095"/>
    <w:rsid w:val="00A45B74"/>
    <w:rsid w:val="00A4700F"/>
    <w:rsid w:val="00A50966"/>
    <w:rsid w:val="00A513AA"/>
    <w:rsid w:val="00A52E04"/>
    <w:rsid w:val="00A52E1D"/>
    <w:rsid w:val="00A52E58"/>
    <w:rsid w:val="00A54F3D"/>
    <w:rsid w:val="00A55DA2"/>
    <w:rsid w:val="00A612A4"/>
    <w:rsid w:val="00A61499"/>
    <w:rsid w:val="00A617B1"/>
    <w:rsid w:val="00A62A77"/>
    <w:rsid w:val="00A63483"/>
    <w:rsid w:val="00A657D7"/>
    <w:rsid w:val="00A66001"/>
    <w:rsid w:val="00A660AC"/>
    <w:rsid w:val="00A6779D"/>
    <w:rsid w:val="00A67E6C"/>
    <w:rsid w:val="00A716FA"/>
    <w:rsid w:val="00A71B99"/>
    <w:rsid w:val="00A73347"/>
    <w:rsid w:val="00A739D0"/>
    <w:rsid w:val="00A74FAC"/>
    <w:rsid w:val="00A761D4"/>
    <w:rsid w:val="00A77EC4"/>
    <w:rsid w:val="00A77FAC"/>
    <w:rsid w:val="00A85FF2"/>
    <w:rsid w:val="00A8760C"/>
    <w:rsid w:val="00A917F0"/>
    <w:rsid w:val="00A92879"/>
    <w:rsid w:val="00A943A2"/>
    <w:rsid w:val="00A9442A"/>
    <w:rsid w:val="00A94876"/>
    <w:rsid w:val="00A94D8A"/>
    <w:rsid w:val="00A97579"/>
    <w:rsid w:val="00AA016F"/>
    <w:rsid w:val="00AA1ED6"/>
    <w:rsid w:val="00AA51D6"/>
    <w:rsid w:val="00AA72D9"/>
    <w:rsid w:val="00AB0BC8"/>
    <w:rsid w:val="00AB11CA"/>
    <w:rsid w:val="00AB14D9"/>
    <w:rsid w:val="00AB3AF9"/>
    <w:rsid w:val="00AB4AB8"/>
    <w:rsid w:val="00AB655E"/>
    <w:rsid w:val="00AC007F"/>
    <w:rsid w:val="00AC0D28"/>
    <w:rsid w:val="00AC2B46"/>
    <w:rsid w:val="00AC2ECD"/>
    <w:rsid w:val="00AC3119"/>
    <w:rsid w:val="00AC49FB"/>
    <w:rsid w:val="00AC5A10"/>
    <w:rsid w:val="00AC7FE6"/>
    <w:rsid w:val="00AD0AA3"/>
    <w:rsid w:val="00AD3F94"/>
    <w:rsid w:val="00AD4A5A"/>
    <w:rsid w:val="00AD7AC2"/>
    <w:rsid w:val="00AE27AC"/>
    <w:rsid w:val="00AE3A5A"/>
    <w:rsid w:val="00AE40E0"/>
    <w:rsid w:val="00AE4DBA"/>
    <w:rsid w:val="00AE4F07"/>
    <w:rsid w:val="00AE5F98"/>
    <w:rsid w:val="00AE72A5"/>
    <w:rsid w:val="00AF1C5D"/>
    <w:rsid w:val="00AF2006"/>
    <w:rsid w:val="00AF30BA"/>
    <w:rsid w:val="00AF36F9"/>
    <w:rsid w:val="00AF42D7"/>
    <w:rsid w:val="00AF48E6"/>
    <w:rsid w:val="00B006FE"/>
    <w:rsid w:val="00B007CB"/>
    <w:rsid w:val="00B02AA9"/>
    <w:rsid w:val="00B02FA3"/>
    <w:rsid w:val="00B05084"/>
    <w:rsid w:val="00B05561"/>
    <w:rsid w:val="00B062D4"/>
    <w:rsid w:val="00B11AE2"/>
    <w:rsid w:val="00B154F4"/>
    <w:rsid w:val="00B157F9"/>
    <w:rsid w:val="00B1668B"/>
    <w:rsid w:val="00B16BE6"/>
    <w:rsid w:val="00B17127"/>
    <w:rsid w:val="00B20256"/>
    <w:rsid w:val="00B20D09"/>
    <w:rsid w:val="00B22AFF"/>
    <w:rsid w:val="00B236A5"/>
    <w:rsid w:val="00B25AAA"/>
    <w:rsid w:val="00B25AD4"/>
    <w:rsid w:val="00B26C2D"/>
    <w:rsid w:val="00B2763F"/>
    <w:rsid w:val="00B27AAC"/>
    <w:rsid w:val="00B27C48"/>
    <w:rsid w:val="00B30929"/>
    <w:rsid w:val="00B31CE7"/>
    <w:rsid w:val="00B31D67"/>
    <w:rsid w:val="00B32F96"/>
    <w:rsid w:val="00B34FCB"/>
    <w:rsid w:val="00B3673C"/>
    <w:rsid w:val="00B372AA"/>
    <w:rsid w:val="00B40445"/>
    <w:rsid w:val="00B409E0"/>
    <w:rsid w:val="00B41888"/>
    <w:rsid w:val="00B45428"/>
    <w:rsid w:val="00B45A52"/>
    <w:rsid w:val="00B46175"/>
    <w:rsid w:val="00B53006"/>
    <w:rsid w:val="00B53524"/>
    <w:rsid w:val="00B5355C"/>
    <w:rsid w:val="00B548B7"/>
    <w:rsid w:val="00B57087"/>
    <w:rsid w:val="00B57542"/>
    <w:rsid w:val="00B60A1F"/>
    <w:rsid w:val="00B62160"/>
    <w:rsid w:val="00B62652"/>
    <w:rsid w:val="00B657D4"/>
    <w:rsid w:val="00B664C7"/>
    <w:rsid w:val="00B7134C"/>
    <w:rsid w:val="00B73429"/>
    <w:rsid w:val="00B739F6"/>
    <w:rsid w:val="00B73CD3"/>
    <w:rsid w:val="00B747E1"/>
    <w:rsid w:val="00B7703F"/>
    <w:rsid w:val="00B7771D"/>
    <w:rsid w:val="00B81A6C"/>
    <w:rsid w:val="00B823A0"/>
    <w:rsid w:val="00B82E55"/>
    <w:rsid w:val="00B8318F"/>
    <w:rsid w:val="00B85DE5"/>
    <w:rsid w:val="00B86269"/>
    <w:rsid w:val="00B90F73"/>
    <w:rsid w:val="00B9250B"/>
    <w:rsid w:val="00B93417"/>
    <w:rsid w:val="00B93B59"/>
    <w:rsid w:val="00B9406A"/>
    <w:rsid w:val="00B94BD4"/>
    <w:rsid w:val="00B9578B"/>
    <w:rsid w:val="00B9658D"/>
    <w:rsid w:val="00B97356"/>
    <w:rsid w:val="00BA2280"/>
    <w:rsid w:val="00BA2A08"/>
    <w:rsid w:val="00BA4780"/>
    <w:rsid w:val="00BA501B"/>
    <w:rsid w:val="00BA56D2"/>
    <w:rsid w:val="00BA76E0"/>
    <w:rsid w:val="00BB0489"/>
    <w:rsid w:val="00BB1D9B"/>
    <w:rsid w:val="00BB2A25"/>
    <w:rsid w:val="00BB3E91"/>
    <w:rsid w:val="00BB409A"/>
    <w:rsid w:val="00BB51E9"/>
    <w:rsid w:val="00BB5DD7"/>
    <w:rsid w:val="00BC008B"/>
    <w:rsid w:val="00BC0386"/>
    <w:rsid w:val="00BC0F31"/>
    <w:rsid w:val="00BC0FDC"/>
    <w:rsid w:val="00BC1799"/>
    <w:rsid w:val="00BC3053"/>
    <w:rsid w:val="00BC4D2E"/>
    <w:rsid w:val="00BC6931"/>
    <w:rsid w:val="00BD004F"/>
    <w:rsid w:val="00BD1A35"/>
    <w:rsid w:val="00BD28CD"/>
    <w:rsid w:val="00BD30A8"/>
    <w:rsid w:val="00BD45A5"/>
    <w:rsid w:val="00BD48AC"/>
    <w:rsid w:val="00BD5F1A"/>
    <w:rsid w:val="00BD638A"/>
    <w:rsid w:val="00BD6540"/>
    <w:rsid w:val="00BE1234"/>
    <w:rsid w:val="00BE2FA6"/>
    <w:rsid w:val="00BE333F"/>
    <w:rsid w:val="00BE4190"/>
    <w:rsid w:val="00BE6012"/>
    <w:rsid w:val="00BE7406"/>
    <w:rsid w:val="00BE7603"/>
    <w:rsid w:val="00BF3279"/>
    <w:rsid w:val="00BF3EC3"/>
    <w:rsid w:val="00BF5208"/>
    <w:rsid w:val="00BF6CA9"/>
    <w:rsid w:val="00BF74C7"/>
    <w:rsid w:val="00BF75E0"/>
    <w:rsid w:val="00C00B65"/>
    <w:rsid w:val="00C015F1"/>
    <w:rsid w:val="00C01F33"/>
    <w:rsid w:val="00C02CC6"/>
    <w:rsid w:val="00C02FB2"/>
    <w:rsid w:val="00C040F7"/>
    <w:rsid w:val="00C044AB"/>
    <w:rsid w:val="00C051F0"/>
    <w:rsid w:val="00C05706"/>
    <w:rsid w:val="00C07377"/>
    <w:rsid w:val="00C10478"/>
    <w:rsid w:val="00C10965"/>
    <w:rsid w:val="00C10BB0"/>
    <w:rsid w:val="00C12107"/>
    <w:rsid w:val="00C13275"/>
    <w:rsid w:val="00C145D3"/>
    <w:rsid w:val="00C14D4B"/>
    <w:rsid w:val="00C154BB"/>
    <w:rsid w:val="00C15EBC"/>
    <w:rsid w:val="00C1619F"/>
    <w:rsid w:val="00C161ED"/>
    <w:rsid w:val="00C16A5B"/>
    <w:rsid w:val="00C16E65"/>
    <w:rsid w:val="00C20D0C"/>
    <w:rsid w:val="00C24844"/>
    <w:rsid w:val="00C24943"/>
    <w:rsid w:val="00C268E6"/>
    <w:rsid w:val="00C279B5"/>
    <w:rsid w:val="00C27C45"/>
    <w:rsid w:val="00C31FE1"/>
    <w:rsid w:val="00C32767"/>
    <w:rsid w:val="00C32E45"/>
    <w:rsid w:val="00C354D0"/>
    <w:rsid w:val="00C3719D"/>
    <w:rsid w:val="00C371F0"/>
    <w:rsid w:val="00C372A5"/>
    <w:rsid w:val="00C3794F"/>
    <w:rsid w:val="00C37CB2"/>
    <w:rsid w:val="00C43C94"/>
    <w:rsid w:val="00C473A5"/>
    <w:rsid w:val="00C54995"/>
    <w:rsid w:val="00C54D41"/>
    <w:rsid w:val="00C55673"/>
    <w:rsid w:val="00C56181"/>
    <w:rsid w:val="00C60783"/>
    <w:rsid w:val="00C645C7"/>
    <w:rsid w:val="00C64672"/>
    <w:rsid w:val="00C70697"/>
    <w:rsid w:val="00C70A78"/>
    <w:rsid w:val="00C72093"/>
    <w:rsid w:val="00C727CA"/>
    <w:rsid w:val="00C72E1E"/>
    <w:rsid w:val="00C72EF4"/>
    <w:rsid w:val="00C744FE"/>
    <w:rsid w:val="00C74608"/>
    <w:rsid w:val="00C751A2"/>
    <w:rsid w:val="00C75A53"/>
    <w:rsid w:val="00C75D2F"/>
    <w:rsid w:val="00C767BE"/>
    <w:rsid w:val="00C76E3C"/>
    <w:rsid w:val="00C80103"/>
    <w:rsid w:val="00C8128A"/>
    <w:rsid w:val="00C81346"/>
    <w:rsid w:val="00C81568"/>
    <w:rsid w:val="00C86CC2"/>
    <w:rsid w:val="00C9027A"/>
    <w:rsid w:val="00C9068E"/>
    <w:rsid w:val="00C917B9"/>
    <w:rsid w:val="00C92FBD"/>
    <w:rsid w:val="00C93814"/>
    <w:rsid w:val="00C93C4B"/>
    <w:rsid w:val="00C9444E"/>
    <w:rsid w:val="00C944AB"/>
    <w:rsid w:val="00C9582A"/>
    <w:rsid w:val="00C95B40"/>
    <w:rsid w:val="00CA0B32"/>
    <w:rsid w:val="00CA102F"/>
    <w:rsid w:val="00CA1ED8"/>
    <w:rsid w:val="00CA5D4C"/>
    <w:rsid w:val="00CA62C9"/>
    <w:rsid w:val="00CB1F63"/>
    <w:rsid w:val="00CB4148"/>
    <w:rsid w:val="00CB472F"/>
    <w:rsid w:val="00CB524A"/>
    <w:rsid w:val="00CB7170"/>
    <w:rsid w:val="00CC040E"/>
    <w:rsid w:val="00CC111F"/>
    <w:rsid w:val="00CC2011"/>
    <w:rsid w:val="00CC3553"/>
    <w:rsid w:val="00CC3EA0"/>
    <w:rsid w:val="00CC586F"/>
    <w:rsid w:val="00CC7B45"/>
    <w:rsid w:val="00CD0442"/>
    <w:rsid w:val="00CD0BA4"/>
    <w:rsid w:val="00CD1188"/>
    <w:rsid w:val="00CD12C5"/>
    <w:rsid w:val="00CD2ED1"/>
    <w:rsid w:val="00CD31E7"/>
    <w:rsid w:val="00CD337B"/>
    <w:rsid w:val="00CD41B6"/>
    <w:rsid w:val="00CD56C9"/>
    <w:rsid w:val="00CD5ABD"/>
    <w:rsid w:val="00CD68B8"/>
    <w:rsid w:val="00CE012C"/>
    <w:rsid w:val="00CE0424"/>
    <w:rsid w:val="00CE7561"/>
    <w:rsid w:val="00CF1354"/>
    <w:rsid w:val="00CF3B1F"/>
    <w:rsid w:val="00CF3BF6"/>
    <w:rsid w:val="00CF5EB0"/>
    <w:rsid w:val="00CF625B"/>
    <w:rsid w:val="00CF687E"/>
    <w:rsid w:val="00CF71EA"/>
    <w:rsid w:val="00D02A47"/>
    <w:rsid w:val="00D0349B"/>
    <w:rsid w:val="00D10249"/>
    <w:rsid w:val="00D1146B"/>
    <w:rsid w:val="00D115C3"/>
    <w:rsid w:val="00D11600"/>
    <w:rsid w:val="00D11897"/>
    <w:rsid w:val="00D13135"/>
    <w:rsid w:val="00D13E4E"/>
    <w:rsid w:val="00D147E7"/>
    <w:rsid w:val="00D17A73"/>
    <w:rsid w:val="00D239A7"/>
    <w:rsid w:val="00D23F47"/>
    <w:rsid w:val="00D24E0B"/>
    <w:rsid w:val="00D263CC"/>
    <w:rsid w:val="00D26B4D"/>
    <w:rsid w:val="00D30975"/>
    <w:rsid w:val="00D30A41"/>
    <w:rsid w:val="00D32922"/>
    <w:rsid w:val="00D33DD3"/>
    <w:rsid w:val="00D36E71"/>
    <w:rsid w:val="00D37D87"/>
    <w:rsid w:val="00D40B33"/>
    <w:rsid w:val="00D4164A"/>
    <w:rsid w:val="00D42DD7"/>
    <w:rsid w:val="00D4318F"/>
    <w:rsid w:val="00D438BF"/>
    <w:rsid w:val="00D440F8"/>
    <w:rsid w:val="00D466B1"/>
    <w:rsid w:val="00D50047"/>
    <w:rsid w:val="00D534F2"/>
    <w:rsid w:val="00D538C8"/>
    <w:rsid w:val="00D546FF"/>
    <w:rsid w:val="00D55AD5"/>
    <w:rsid w:val="00D576CA"/>
    <w:rsid w:val="00D61AF5"/>
    <w:rsid w:val="00D61C9C"/>
    <w:rsid w:val="00D6265A"/>
    <w:rsid w:val="00D62BCC"/>
    <w:rsid w:val="00D652B5"/>
    <w:rsid w:val="00D66155"/>
    <w:rsid w:val="00D669DE"/>
    <w:rsid w:val="00D6765A"/>
    <w:rsid w:val="00D6782B"/>
    <w:rsid w:val="00D708B0"/>
    <w:rsid w:val="00D71AC5"/>
    <w:rsid w:val="00D77B1D"/>
    <w:rsid w:val="00D8021F"/>
    <w:rsid w:val="00D80383"/>
    <w:rsid w:val="00D8151A"/>
    <w:rsid w:val="00D823C6"/>
    <w:rsid w:val="00D8327F"/>
    <w:rsid w:val="00D8497E"/>
    <w:rsid w:val="00D84AA7"/>
    <w:rsid w:val="00D865F9"/>
    <w:rsid w:val="00D86CA3"/>
    <w:rsid w:val="00D871CE"/>
    <w:rsid w:val="00D872E6"/>
    <w:rsid w:val="00D9127B"/>
    <w:rsid w:val="00D9196D"/>
    <w:rsid w:val="00D92982"/>
    <w:rsid w:val="00D9310F"/>
    <w:rsid w:val="00DA305E"/>
    <w:rsid w:val="00DA49B2"/>
    <w:rsid w:val="00DA5417"/>
    <w:rsid w:val="00DA56E8"/>
    <w:rsid w:val="00DB0A9F"/>
    <w:rsid w:val="00DB2971"/>
    <w:rsid w:val="00DB377D"/>
    <w:rsid w:val="00DB4499"/>
    <w:rsid w:val="00DB6232"/>
    <w:rsid w:val="00DC14FD"/>
    <w:rsid w:val="00DC2D36"/>
    <w:rsid w:val="00DC53EF"/>
    <w:rsid w:val="00DC59C2"/>
    <w:rsid w:val="00DC7ABB"/>
    <w:rsid w:val="00DD4491"/>
    <w:rsid w:val="00DD75E9"/>
    <w:rsid w:val="00DE5608"/>
    <w:rsid w:val="00DE58D0"/>
    <w:rsid w:val="00DE654F"/>
    <w:rsid w:val="00DE79A4"/>
    <w:rsid w:val="00DF00C8"/>
    <w:rsid w:val="00DF0AB5"/>
    <w:rsid w:val="00DF0B6E"/>
    <w:rsid w:val="00DF0D9C"/>
    <w:rsid w:val="00DF15E0"/>
    <w:rsid w:val="00DF2613"/>
    <w:rsid w:val="00DF37A0"/>
    <w:rsid w:val="00DF54AD"/>
    <w:rsid w:val="00DF6820"/>
    <w:rsid w:val="00E0006C"/>
    <w:rsid w:val="00E053B4"/>
    <w:rsid w:val="00E0598A"/>
    <w:rsid w:val="00E10130"/>
    <w:rsid w:val="00E110E7"/>
    <w:rsid w:val="00E11B20"/>
    <w:rsid w:val="00E17FA2"/>
    <w:rsid w:val="00E203C0"/>
    <w:rsid w:val="00E2163A"/>
    <w:rsid w:val="00E21EBA"/>
    <w:rsid w:val="00E22330"/>
    <w:rsid w:val="00E2331E"/>
    <w:rsid w:val="00E243C0"/>
    <w:rsid w:val="00E26968"/>
    <w:rsid w:val="00E26E18"/>
    <w:rsid w:val="00E30B5A"/>
    <w:rsid w:val="00E31205"/>
    <w:rsid w:val="00E3123D"/>
    <w:rsid w:val="00E31461"/>
    <w:rsid w:val="00E31D43"/>
    <w:rsid w:val="00E3253C"/>
    <w:rsid w:val="00E32608"/>
    <w:rsid w:val="00E32D01"/>
    <w:rsid w:val="00E34188"/>
    <w:rsid w:val="00E34B6E"/>
    <w:rsid w:val="00E35559"/>
    <w:rsid w:val="00E3723A"/>
    <w:rsid w:val="00E37860"/>
    <w:rsid w:val="00E42842"/>
    <w:rsid w:val="00E446F1"/>
    <w:rsid w:val="00E457FE"/>
    <w:rsid w:val="00E45B92"/>
    <w:rsid w:val="00E45CE8"/>
    <w:rsid w:val="00E46886"/>
    <w:rsid w:val="00E47AEF"/>
    <w:rsid w:val="00E47CE9"/>
    <w:rsid w:val="00E53B75"/>
    <w:rsid w:val="00E53E07"/>
    <w:rsid w:val="00E54E3B"/>
    <w:rsid w:val="00E57565"/>
    <w:rsid w:val="00E61788"/>
    <w:rsid w:val="00E628C8"/>
    <w:rsid w:val="00E63838"/>
    <w:rsid w:val="00E64434"/>
    <w:rsid w:val="00E6587F"/>
    <w:rsid w:val="00E67C51"/>
    <w:rsid w:val="00E72C6C"/>
    <w:rsid w:val="00E72EFC"/>
    <w:rsid w:val="00E73585"/>
    <w:rsid w:val="00E74778"/>
    <w:rsid w:val="00E758EC"/>
    <w:rsid w:val="00E81590"/>
    <w:rsid w:val="00E8234C"/>
    <w:rsid w:val="00E82F4C"/>
    <w:rsid w:val="00E83AA9"/>
    <w:rsid w:val="00E85679"/>
    <w:rsid w:val="00E85928"/>
    <w:rsid w:val="00E87822"/>
    <w:rsid w:val="00E90395"/>
    <w:rsid w:val="00E90E49"/>
    <w:rsid w:val="00E917F9"/>
    <w:rsid w:val="00E91CE8"/>
    <w:rsid w:val="00E92431"/>
    <w:rsid w:val="00E9291C"/>
    <w:rsid w:val="00E93FFE"/>
    <w:rsid w:val="00E9406B"/>
    <w:rsid w:val="00E94F8A"/>
    <w:rsid w:val="00E95363"/>
    <w:rsid w:val="00E960D0"/>
    <w:rsid w:val="00E966E3"/>
    <w:rsid w:val="00E97AA7"/>
    <w:rsid w:val="00E97B3E"/>
    <w:rsid w:val="00EA11C7"/>
    <w:rsid w:val="00EA261A"/>
    <w:rsid w:val="00EA30D8"/>
    <w:rsid w:val="00EA5DDE"/>
    <w:rsid w:val="00EA5EC2"/>
    <w:rsid w:val="00EA764A"/>
    <w:rsid w:val="00EA7A41"/>
    <w:rsid w:val="00EB077B"/>
    <w:rsid w:val="00EB4EA2"/>
    <w:rsid w:val="00EB5FED"/>
    <w:rsid w:val="00EC24D5"/>
    <w:rsid w:val="00EC27C6"/>
    <w:rsid w:val="00EC3EC3"/>
    <w:rsid w:val="00EC4207"/>
    <w:rsid w:val="00EC5653"/>
    <w:rsid w:val="00EC71CE"/>
    <w:rsid w:val="00ED1006"/>
    <w:rsid w:val="00ED5332"/>
    <w:rsid w:val="00ED53CA"/>
    <w:rsid w:val="00ED7375"/>
    <w:rsid w:val="00EE05B2"/>
    <w:rsid w:val="00EE0F09"/>
    <w:rsid w:val="00EE229C"/>
    <w:rsid w:val="00EE30F5"/>
    <w:rsid w:val="00EE4156"/>
    <w:rsid w:val="00EE5626"/>
    <w:rsid w:val="00EE5C40"/>
    <w:rsid w:val="00EF09B6"/>
    <w:rsid w:val="00EF18FE"/>
    <w:rsid w:val="00EF2674"/>
    <w:rsid w:val="00EF5787"/>
    <w:rsid w:val="00EF60D0"/>
    <w:rsid w:val="00F01E0E"/>
    <w:rsid w:val="00F03CB4"/>
    <w:rsid w:val="00F0528D"/>
    <w:rsid w:val="00F064F3"/>
    <w:rsid w:val="00F06C67"/>
    <w:rsid w:val="00F06DFD"/>
    <w:rsid w:val="00F071D1"/>
    <w:rsid w:val="00F07533"/>
    <w:rsid w:val="00F078E7"/>
    <w:rsid w:val="00F10629"/>
    <w:rsid w:val="00F10CD6"/>
    <w:rsid w:val="00F15FA5"/>
    <w:rsid w:val="00F209B7"/>
    <w:rsid w:val="00F20F5C"/>
    <w:rsid w:val="00F21C0C"/>
    <w:rsid w:val="00F2376F"/>
    <w:rsid w:val="00F238DF"/>
    <w:rsid w:val="00F243D8"/>
    <w:rsid w:val="00F30193"/>
    <w:rsid w:val="00F30828"/>
    <w:rsid w:val="00F3094F"/>
    <w:rsid w:val="00F313D6"/>
    <w:rsid w:val="00F344DB"/>
    <w:rsid w:val="00F3793A"/>
    <w:rsid w:val="00F37A10"/>
    <w:rsid w:val="00F40286"/>
    <w:rsid w:val="00F40F0C"/>
    <w:rsid w:val="00F41F88"/>
    <w:rsid w:val="00F426CD"/>
    <w:rsid w:val="00F43291"/>
    <w:rsid w:val="00F45F12"/>
    <w:rsid w:val="00F4613C"/>
    <w:rsid w:val="00F467A2"/>
    <w:rsid w:val="00F4766C"/>
    <w:rsid w:val="00F5060E"/>
    <w:rsid w:val="00F507D1"/>
    <w:rsid w:val="00F519CE"/>
    <w:rsid w:val="00F51ADA"/>
    <w:rsid w:val="00F55DBA"/>
    <w:rsid w:val="00F60203"/>
    <w:rsid w:val="00F607C5"/>
    <w:rsid w:val="00F60DEA"/>
    <w:rsid w:val="00F619C5"/>
    <w:rsid w:val="00F6302A"/>
    <w:rsid w:val="00F6316E"/>
    <w:rsid w:val="00F63950"/>
    <w:rsid w:val="00F64C2B"/>
    <w:rsid w:val="00F651BE"/>
    <w:rsid w:val="00F66223"/>
    <w:rsid w:val="00F669E8"/>
    <w:rsid w:val="00F67F53"/>
    <w:rsid w:val="00F703BE"/>
    <w:rsid w:val="00F70BCA"/>
    <w:rsid w:val="00F71F69"/>
    <w:rsid w:val="00F72B72"/>
    <w:rsid w:val="00F73813"/>
    <w:rsid w:val="00F73ADE"/>
    <w:rsid w:val="00F73E49"/>
    <w:rsid w:val="00F74BB9"/>
    <w:rsid w:val="00F75582"/>
    <w:rsid w:val="00F7569B"/>
    <w:rsid w:val="00F76EFA"/>
    <w:rsid w:val="00F804BE"/>
    <w:rsid w:val="00F817CE"/>
    <w:rsid w:val="00F82566"/>
    <w:rsid w:val="00F8394B"/>
    <w:rsid w:val="00F8456C"/>
    <w:rsid w:val="00F859D8"/>
    <w:rsid w:val="00F85A7B"/>
    <w:rsid w:val="00F868F5"/>
    <w:rsid w:val="00F9056A"/>
    <w:rsid w:val="00F90F8D"/>
    <w:rsid w:val="00F92782"/>
    <w:rsid w:val="00F9395F"/>
    <w:rsid w:val="00F93AA9"/>
    <w:rsid w:val="00F96985"/>
    <w:rsid w:val="00F97838"/>
    <w:rsid w:val="00FA2BB3"/>
    <w:rsid w:val="00FA3AD7"/>
    <w:rsid w:val="00FA44CC"/>
    <w:rsid w:val="00FA5D44"/>
    <w:rsid w:val="00FB17F3"/>
    <w:rsid w:val="00FB4C80"/>
    <w:rsid w:val="00FB6060"/>
    <w:rsid w:val="00FB6A6A"/>
    <w:rsid w:val="00FB6F9C"/>
    <w:rsid w:val="00FB7E49"/>
    <w:rsid w:val="00FC0515"/>
    <w:rsid w:val="00FC07EA"/>
    <w:rsid w:val="00FC1A4B"/>
    <w:rsid w:val="00FC7429"/>
    <w:rsid w:val="00FD07F6"/>
    <w:rsid w:val="00FD1EC8"/>
    <w:rsid w:val="00FD22B2"/>
    <w:rsid w:val="00FD47ED"/>
    <w:rsid w:val="00FD74DB"/>
    <w:rsid w:val="00FD7660"/>
    <w:rsid w:val="00FE0655"/>
    <w:rsid w:val="00FE2365"/>
    <w:rsid w:val="00FE2C7F"/>
    <w:rsid w:val="00FE37D7"/>
    <w:rsid w:val="00FE479A"/>
    <w:rsid w:val="00FE4C7B"/>
    <w:rsid w:val="00FE653A"/>
    <w:rsid w:val="00FE6581"/>
    <w:rsid w:val="00FE7336"/>
    <w:rsid w:val="00FE787C"/>
    <w:rsid w:val="00FE7947"/>
    <w:rsid w:val="00FF0F3B"/>
    <w:rsid w:val="00FF159C"/>
    <w:rsid w:val="00FF45A5"/>
    <w:rsid w:val="00FF5247"/>
    <w:rsid w:val="00FF5C91"/>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6263B77B-1E15-4B00-BA66-E2BD801E8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D67"/>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F66223"/>
    <w:pPr>
      <w:spacing w:after="0"/>
      <w:ind w:left="720"/>
    </w:pPr>
    <w:rPr>
      <w:rFonts w:eastAsia="Calibri"/>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66223"/>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5422F6"/>
    <w:rPr>
      <w:color w:val="2B579A"/>
      <w:shd w:val="clear" w:color="auto" w:fill="E1DFDD"/>
    </w:rPr>
  </w:style>
  <w:style w:type="paragraph" w:styleId="Revision">
    <w:name w:val="Revision"/>
    <w:hidden/>
    <w:uiPriority w:val="99"/>
    <w:semiHidden/>
    <w:rsid w:val="00FE794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1218</TotalTime>
  <Pages>3</Pages>
  <Words>2590</Words>
  <Characters>14766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17322</CharactersWithSpaces>
  <SharedDoc>false</SharedDoc>
  <HLinks>
    <vt:vector size="78" baseType="variant">
      <vt:variant>
        <vt:i4>1376310</vt:i4>
      </vt:variant>
      <vt:variant>
        <vt:i4>38</vt:i4>
      </vt:variant>
      <vt:variant>
        <vt:i4>0</vt:i4>
      </vt:variant>
      <vt:variant>
        <vt:i4>5</vt:i4>
      </vt:variant>
      <vt:variant>
        <vt:lpwstr/>
      </vt:variant>
      <vt:variant>
        <vt:lpwstr>_Toc118272835</vt:lpwstr>
      </vt:variant>
      <vt:variant>
        <vt:i4>1376310</vt:i4>
      </vt:variant>
      <vt:variant>
        <vt:i4>35</vt:i4>
      </vt:variant>
      <vt:variant>
        <vt:i4>0</vt:i4>
      </vt:variant>
      <vt:variant>
        <vt:i4>5</vt:i4>
      </vt:variant>
      <vt:variant>
        <vt:lpwstr/>
      </vt:variant>
      <vt:variant>
        <vt:lpwstr>_Toc118272834</vt:lpwstr>
      </vt:variant>
      <vt:variant>
        <vt:i4>1376310</vt:i4>
      </vt:variant>
      <vt:variant>
        <vt:i4>32</vt:i4>
      </vt:variant>
      <vt:variant>
        <vt:i4>0</vt:i4>
      </vt:variant>
      <vt:variant>
        <vt:i4>5</vt:i4>
      </vt:variant>
      <vt:variant>
        <vt:lpwstr/>
      </vt:variant>
      <vt:variant>
        <vt:lpwstr>_Toc118272833</vt:lpwstr>
      </vt:variant>
      <vt:variant>
        <vt:i4>1376310</vt:i4>
      </vt:variant>
      <vt:variant>
        <vt:i4>29</vt:i4>
      </vt:variant>
      <vt:variant>
        <vt:i4>0</vt:i4>
      </vt:variant>
      <vt:variant>
        <vt:i4>5</vt:i4>
      </vt:variant>
      <vt:variant>
        <vt:lpwstr/>
      </vt:variant>
      <vt:variant>
        <vt:lpwstr>_Toc118272832</vt:lpwstr>
      </vt:variant>
      <vt:variant>
        <vt:i4>1507382</vt:i4>
      </vt:variant>
      <vt:variant>
        <vt:i4>23</vt:i4>
      </vt:variant>
      <vt:variant>
        <vt:i4>0</vt:i4>
      </vt:variant>
      <vt:variant>
        <vt:i4>5</vt:i4>
      </vt:variant>
      <vt:variant>
        <vt:lpwstr/>
      </vt:variant>
      <vt:variant>
        <vt:lpwstr>_Toc118272817</vt:lpwstr>
      </vt:variant>
      <vt:variant>
        <vt:i4>1507382</vt:i4>
      </vt:variant>
      <vt:variant>
        <vt:i4>20</vt:i4>
      </vt:variant>
      <vt:variant>
        <vt:i4>0</vt:i4>
      </vt:variant>
      <vt:variant>
        <vt:i4>5</vt:i4>
      </vt:variant>
      <vt:variant>
        <vt:lpwstr/>
      </vt:variant>
      <vt:variant>
        <vt:lpwstr>_Toc118272816</vt:lpwstr>
      </vt:variant>
      <vt:variant>
        <vt:i4>1507382</vt:i4>
      </vt:variant>
      <vt:variant>
        <vt:i4>17</vt:i4>
      </vt:variant>
      <vt:variant>
        <vt:i4>0</vt:i4>
      </vt:variant>
      <vt:variant>
        <vt:i4>5</vt:i4>
      </vt:variant>
      <vt:variant>
        <vt:lpwstr/>
      </vt:variant>
      <vt:variant>
        <vt:lpwstr>_Toc118272815</vt:lpwstr>
      </vt:variant>
      <vt:variant>
        <vt:i4>1507382</vt:i4>
      </vt:variant>
      <vt:variant>
        <vt:i4>14</vt:i4>
      </vt:variant>
      <vt:variant>
        <vt:i4>0</vt:i4>
      </vt:variant>
      <vt:variant>
        <vt:i4>5</vt:i4>
      </vt:variant>
      <vt:variant>
        <vt:lpwstr/>
      </vt:variant>
      <vt:variant>
        <vt:lpwstr>_Toc118272814</vt:lpwstr>
      </vt:variant>
      <vt:variant>
        <vt:i4>1507382</vt:i4>
      </vt:variant>
      <vt:variant>
        <vt:i4>11</vt:i4>
      </vt:variant>
      <vt:variant>
        <vt:i4>0</vt:i4>
      </vt:variant>
      <vt:variant>
        <vt:i4>5</vt:i4>
      </vt:variant>
      <vt:variant>
        <vt:lpwstr/>
      </vt:variant>
      <vt:variant>
        <vt:lpwstr>_Toc118272813</vt:lpwstr>
      </vt:variant>
      <vt:variant>
        <vt:i4>1507382</vt:i4>
      </vt:variant>
      <vt:variant>
        <vt:i4>8</vt:i4>
      </vt:variant>
      <vt:variant>
        <vt:i4>0</vt:i4>
      </vt:variant>
      <vt:variant>
        <vt:i4>5</vt:i4>
      </vt:variant>
      <vt:variant>
        <vt:lpwstr/>
      </vt:variant>
      <vt:variant>
        <vt:lpwstr>_Toc118272812</vt:lpwstr>
      </vt:variant>
      <vt:variant>
        <vt:i4>5046316</vt:i4>
      </vt:variant>
      <vt:variant>
        <vt:i4>6</vt:i4>
      </vt:variant>
      <vt:variant>
        <vt:i4>0</vt:i4>
      </vt:variant>
      <vt:variant>
        <vt:i4>5</vt:i4>
      </vt:variant>
      <vt:variant>
        <vt:lpwstr>C:\Data\3GPP\RAN2\Inbox\R2-2210862.zip</vt:lpwstr>
      </vt:variant>
      <vt:variant>
        <vt:lpwstr/>
      </vt:variant>
      <vt:variant>
        <vt:i4>3866648</vt:i4>
      </vt:variant>
      <vt:variant>
        <vt:i4>3</vt:i4>
      </vt:variant>
      <vt:variant>
        <vt:i4>0</vt:i4>
      </vt:variant>
      <vt:variant>
        <vt:i4>5</vt:i4>
      </vt:variant>
      <vt:variant>
        <vt:lpwstr>C:\Data\3GPP\Extracts\R2-2009820_RAN2Email910_EarthFixedMovingBeams_Report.docx</vt:lpwstr>
      </vt:variant>
      <vt:variant>
        <vt:lpwstr/>
      </vt:variant>
      <vt:variant>
        <vt:i4>5046316</vt:i4>
      </vt:variant>
      <vt:variant>
        <vt:i4>0</vt:i4>
      </vt:variant>
      <vt:variant>
        <vt:i4>0</vt:i4>
      </vt:variant>
      <vt:variant>
        <vt:i4>5</vt:i4>
      </vt:variant>
      <vt:variant>
        <vt:lpwstr>C:\Data\3GPP\RAN2\Inbox\R2-2210862.zip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Rapporteur</cp:lastModifiedBy>
  <cp:revision>458</cp:revision>
  <cp:lastPrinted>2008-01-31T07:09:00Z</cp:lastPrinted>
  <dcterms:created xsi:type="dcterms:W3CDTF">2022-09-23T05:07:00Z</dcterms:created>
  <dcterms:modified xsi:type="dcterms:W3CDTF">2022-11-04T09:05:00Z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